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9E58" w14:textId="77777777" w:rsidR="001A34CC" w:rsidRDefault="001A34CC" w:rsidP="00485A2C">
      <w:pPr>
        <w:spacing w:after="0"/>
        <w:ind w:left="1985"/>
        <w:rPr>
          <w:b/>
          <w:color w:val="000000" w:themeColor="text1"/>
          <w:w w:val="95"/>
          <w:sz w:val="40"/>
        </w:rPr>
      </w:pPr>
    </w:p>
    <w:p w14:paraId="44467A73" w14:textId="77777777" w:rsidR="00485A2C" w:rsidRPr="001A34CC" w:rsidRDefault="006838A4" w:rsidP="00485A2C">
      <w:pPr>
        <w:spacing w:after="0"/>
        <w:ind w:left="1985"/>
        <w:rPr>
          <w:b/>
          <w:color w:val="000000" w:themeColor="text1"/>
          <w:w w:val="95"/>
          <w:sz w:val="40"/>
        </w:rPr>
      </w:pPr>
      <w:r w:rsidRPr="001A34CC">
        <w:rPr>
          <w:b/>
          <w:color w:val="000000" w:themeColor="text1"/>
          <w:w w:val="95"/>
          <w:sz w:val="40"/>
        </w:rPr>
        <w:t xml:space="preserve">Constant </w:t>
      </w:r>
      <w:proofErr w:type="spellStart"/>
      <w:r w:rsidRPr="001A34CC">
        <w:rPr>
          <w:b/>
          <w:color w:val="000000" w:themeColor="text1"/>
          <w:w w:val="95"/>
          <w:sz w:val="40"/>
        </w:rPr>
        <w:t>leverage</w:t>
      </w:r>
      <w:proofErr w:type="spellEnd"/>
      <w:r w:rsidRPr="001A34CC">
        <w:rPr>
          <w:b/>
          <w:color w:val="000000" w:themeColor="text1"/>
          <w:w w:val="95"/>
          <w:sz w:val="40"/>
        </w:rPr>
        <w:t xml:space="preserve"> certifikat </w:t>
      </w:r>
      <w:r w:rsidR="001A34CC">
        <w:rPr>
          <w:b/>
          <w:color w:val="000000" w:themeColor="text1"/>
          <w:w w:val="95"/>
          <w:sz w:val="40"/>
        </w:rPr>
        <w:br/>
      </w:r>
      <w:r w:rsidRPr="001A34CC">
        <w:rPr>
          <w:b/>
          <w:color w:val="000000" w:themeColor="text1"/>
          <w:w w:val="95"/>
          <w:sz w:val="40"/>
        </w:rPr>
        <w:t>(</w:t>
      </w:r>
      <w:r w:rsidR="009217D1" w:rsidRPr="001A34CC">
        <w:rPr>
          <w:b/>
          <w:color w:val="000000" w:themeColor="text1"/>
          <w:w w:val="95"/>
          <w:sz w:val="40"/>
        </w:rPr>
        <w:t>Bull</w:t>
      </w:r>
      <w:r w:rsidR="00485A2C" w:rsidRPr="001A34CC">
        <w:rPr>
          <w:b/>
          <w:color w:val="000000" w:themeColor="text1"/>
          <w:w w:val="95"/>
          <w:sz w:val="40"/>
        </w:rPr>
        <w:t xml:space="preserve"> &amp; </w:t>
      </w:r>
      <w:r w:rsidR="009217D1" w:rsidRPr="001A34CC">
        <w:rPr>
          <w:b/>
          <w:color w:val="000000" w:themeColor="text1"/>
          <w:w w:val="95"/>
          <w:sz w:val="40"/>
        </w:rPr>
        <w:t>Bear</w:t>
      </w:r>
      <w:r w:rsidR="00485A2C" w:rsidRPr="001A34CC">
        <w:rPr>
          <w:b/>
          <w:color w:val="000000" w:themeColor="text1"/>
          <w:w w:val="95"/>
          <w:sz w:val="40"/>
        </w:rPr>
        <w:t>-certifikater</w:t>
      </w:r>
      <w:r w:rsidRPr="001A34CC">
        <w:rPr>
          <w:b/>
          <w:color w:val="000000" w:themeColor="text1"/>
          <w:w w:val="95"/>
          <w:sz w:val="40"/>
        </w:rPr>
        <w:t>)</w:t>
      </w:r>
    </w:p>
    <w:p w14:paraId="238A8B8C" w14:textId="5EEE671D" w:rsidR="00506974" w:rsidRDefault="006838A4" w:rsidP="00506974">
      <w:pPr>
        <w:ind w:left="1985"/>
        <w:rPr>
          <w:color w:val="808080" w:themeColor="background1" w:themeShade="80"/>
        </w:rPr>
      </w:pPr>
      <w:r w:rsidRPr="009A7A1D">
        <w:rPr>
          <w:color w:val="808080" w:themeColor="background1" w:themeShade="80"/>
        </w:rPr>
        <w:t>Constant</w:t>
      </w:r>
      <w:r w:rsidR="00506974" w:rsidRPr="00506974">
        <w:rPr>
          <w:color w:val="808080" w:themeColor="background1" w:themeShade="80"/>
        </w:rPr>
        <w:t xml:space="preserve"> </w:t>
      </w:r>
      <w:proofErr w:type="spellStart"/>
      <w:r w:rsidR="00506974">
        <w:rPr>
          <w:color w:val="808080" w:themeColor="background1" w:themeShade="80"/>
        </w:rPr>
        <w:t>Constant</w:t>
      </w:r>
      <w:proofErr w:type="spellEnd"/>
      <w:r w:rsidR="00506974">
        <w:rPr>
          <w:color w:val="808080" w:themeColor="background1" w:themeShade="80"/>
        </w:rPr>
        <w:t xml:space="preserve"> </w:t>
      </w:r>
      <w:proofErr w:type="spellStart"/>
      <w:r w:rsidR="00506974">
        <w:rPr>
          <w:color w:val="808080" w:themeColor="background1" w:themeShade="80"/>
        </w:rPr>
        <w:t>leverage</w:t>
      </w:r>
      <w:proofErr w:type="spellEnd"/>
      <w:r w:rsidR="00506974">
        <w:rPr>
          <w:color w:val="808080" w:themeColor="background1" w:themeShade="80"/>
        </w:rPr>
        <w:t xml:space="preserve"> (Bull &amp; Bear) certifikater er komplekse produkter, der kan bruges til at opnå afkast, hvis markedet bevæger sig i den retning, du forventer. Uanset om det er et stigende eller faldende marked. Du kan </w:t>
      </w:r>
      <w:bookmarkStart w:id="0" w:name="_Hlk107214355"/>
      <w:r w:rsidR="00506974">
        <w:rPr>
          <w:color w:val="808080" w:themeColor="background1" w:themeShade="80"/>
        </w:rPr>
        <w:t>miste dele af eller hele det investerede beløb</w:t>
      </w:r>
      <w:bookmarkEnd w:id="0"/>
      <w:r w:rsidR="00506974">
        <w:rPr>
          <w:color w:val="808080" w:themeColor="background1" w:themeShade="80"/>
        </w:rPr>
        <w:t>, hvis markedsbevægelserne er anderledes, end du forventer.</w:t>
      </w:r>
    </w:p>
    <w:p w14:paraId="5ED45781" w14:textId="7AF6BA98" w:rsidR="004B28D5" w:rsidRPr="00971A87" w:rsidRDefault="006838A4" w:rsidP="00644EE5">
      <w:pPr>
        <w:spacing w:line="255" w:lineRule="auto"/>
        <w:ind w:left="1985" w:right="339"/>
        <w:rPr>
          <w:color w:val="808080" w:themeColor="background1" w:themeShade="80"/>
        </w:rPr>
        <w:sectPr w:rsidR="004B28D5" w:rsidRPr="00971A87" w:rsidSect="00971A87">
          <w:pgSz w:w="11906" w:h="16838"/>
          <w:pgMar w:top="1304" w:right="964" w:bottom="1304" w:left="964" w:header="709" w:footer="709" w:gutter="0"/>
          <w:cols w:space="708"/>
          <w:docGrid w:linePitch="360"/>
        </w:sectPr>
      </w:pPr>
      <w:r w:rsidRPr="009A7A1D">
        <w:rPr>
          <w:color w:val="808080" w:themeColor="background1" w:themeShade="80"/>
        </w:rPr>
        <w:t xml:space="preserve"> </w:t>
      </w:r>
    </w:p>
    <w:p w14:paraId="035D8863" w14:textId="51F29841"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I dette </w:t>
      </w:r>
      <w:proofErr w:type="spellStart"/>
      <w:r>
        <w:rPr>
          <w:rFonts w:asciiTheme="minorHAnsi" w:hAnsiTheme="minorHAnsi"/>
          <w:color w:val="808080" w:themeColor="background1" w:themeShade="80"/>
          <w:lang w:val="da-DK"/>
        </w:rPr>
        <w:t>faktaark</w:t>
      </w:r>
      <w:proofErr w:type="spellEnd"/>
      <w:r>
        <w:rPr>
          <w:rFonts w:asciiTheme="minorHAnsi" w:hAnsiTheme="minorHAnsi"/>
          <w:color w:val="808080" w:themeColor="background1" w:themeShade="80"/>
          <w:lang w:val="da-DK"/>
        </w:rPr>
        <w:t xml:space="preserve"> kan du læse mere om grundlæggende fordele, ulemper og risici, som du skal være sikker på, at du forstår, før du træffer beslutning om at handle med certifikater. </w:t>
      </w:r>
      <w:proofErr w:type="spellStart"/>
      <w:r>
        <w:rPr>
          <w:rFonts w:asciiTheme="minorHAnsi" w:hAnsiTheme="minorHAnsi"/>
          <w:color w:val="808080" w:themeColor="background1" w:themeShade="80"/>
          <w:lang w:val="da-DK"/>
        </w:rPr>
        <w:t>Faktaark</w:t>
      </w:r>
      <w:proofErr w:type="spellEnd"/>
      <w:r>
        <w:rPr>
          <w:rFonts w:asciiTheme="minorHAnsi" w:hAnsiTheme="minorHAnsi"/>
          <w:color w:val="808080" w:themeColor="background1" w:themeShade="80"/>
          <w:lang w:val="da-DK"/>
        </w:rPr>
        <w:t xml:space="preserve"> er generelle beskrivelser, og ikke en fuldstændig beskrivelse af, hvad du skal være opmærksom på, da der kan være øvrige forhold, der gør sig gældende for dig. Inden du investerer, bør du </w:t>
      </w:r>
      <w:bookmarkStart w:id="1" w:name="_Hlk107221699"/>
      <w:r>
        <w:rPr>
          <w:rFonts w:asciiTheme="minorHAnsi" w:hAnsiTheme="minorHAnsi"/>
          <w:color w:val="808080" w:themeColor="background1" w:themeShade="80"/>
          <w:lang w:val="da-DK"/>
        </w:rPr>
        <w:t>derfor altid læse udbudsmaterialet for det enkelte certifikat</w:t>
      </w:r>
      <w:bookmarkEnd w:id="1"/>
      <w:r>
        <w:rPr>
          <w:rFonts w:asciiTheme="minorHAnsi" w:hAnsiTheme="minorHAnsi"/>
          <w:color w:val="808080" w:themeColor="background1" w:themeShade="80"/>
          <w:lang w:val="da-DK"/>
        </w:rPr>
        <w:t>.</w:t>
      </w:r>
    </w:p>
    <w:p w14:paraId="2FB79F8D" w14:textId="05C98531" w:rsidR="00506974" w:rsidRDefault="00506974" w:rsidP="00FF7FCC">
      <w:pPr>
        <w:pStyle w:val="Brdtekst"/>
        <w:spacing w:line="244" w:lineRule="auto"/>
        <w:rPr>
          <w:rFonts w:asciiTheme="minorHAnsi" w:eastAsia="Cambria" w:hAnsiTheme="minorHAnsi" w:cs="Cambria"/>
          <w:b/>
          <w:bCs/>
          <w:color w:val="000000" w:themeColor="text1"/>
          <w:lang w:val="da-DK"/>
        </w:rPr>
      </w:pPr>
    </w:p>
    <w:p w14:paraId="132DE5E1" w14:textId="603A1800" w:rsidR="00FF7FCC" w:rsidRPr="007E3978" w:rsidRDefault="00FF7FCC" w:rsidP="00FF7FCC">
      <w:pPr>
        <w:pStyle w:val="Brdtekst"/>
        <w:spacing w:line="244" w:lineRule="auto"/>
        <w:rPr>
          <w:rFonts w:asciiTheme="minorHAnsi" w:eastAsia="Cambria" w:hAnsiTheme="minorHAnsi" w:cs="Cambria"/>
          <w:b/>
          <w:bCs/>
          <w:color w:val="000000" w:themeColor="text1"/>
          <w:lang w:val="da-DK"/>
        </w:rPr>
      </w:pPr>
      <w:r w:rsidRPr="007E3978">
        <w:rPr>
          <w:rFonts w:asciiTheme="minorHAnsi" w:eastAsia="Cambria" w:hAnsiTheme="minorHAnsi" w:cs="Cambria"/>
          <w:b/>
          <w:bCs/>
          <w:color w:val="000000" w:themeColor="text1"/>
          <w:lang w:val="da-DK"/>
        </w:rPr>
        <w:t xml:space="preserve">Hvad er et </w:t>
      </w:r>
      <w:r w:rsidR="006838A4">
        <w:rPr>
          <w:rFonts w:asciiTheme="minorHAnsi" w:eastAsia="Cambria" w:hAnsiTheme="minorHAnsi" w:cs="Cambria"/>
          <w:b/>
          <w:bCs/>
          <w:color w:val="000000" w:themeColor="text1"/>
          <w:lang w:val="da-DK"/>
        </w:rPr>
        <w:t xml:space="preserve">Constant </w:t>
      </w:r>
      <w:proofErr w:type="spellStart"/>
      <w:r w:rsidR="006838A4">
        <w:rPr>
          <w:rFonts w:asciiTheme="minorHAnsi" w:eastAsia="Cambria" w:hAnsiTheme="minorHAnsi" w:cs="Cambria"/>
          <w:b/>
          <w:bCs/>
          <w:color w:val="000000" w:themeColor="text1"/>
          <w:lang w:val="da-DK"/>
        </w:rPr>
        <w:t>leverage</w:t>
      </w:r>
      <w:proofErr w:type="spellEnd"/>
      <w:r w:rsidRPr="007E3978">
        <w:rPr>
          <w:rFonts w:asciiTheme="minorHAnsi" w:eastAsia="Cambria" w:hAnsiTheme="minorHAnsi" w:cs="Cambria"/>
          <w:b/>
          <w:bCs/>
          <w:color w:val="000000" w:themeColor="text1"/>
          <w:lang w:val="da-DK"/>
        </w:rPr>
        <w:t>-certifikat?</w:t>
      </w:r>
    </w:p>
    <w:p w14:paraId="7E4A5C84"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Et Constant </w:t>
      </w:r>
      <w:proofErr w:type="spellStart"/>
      <w:r>
        <w:rPr>
          <w:rFonts w:asciiTheme="minorHAnsi" w:hAnsiTheme="minorHAnsi"/>
          <w:color w:val="808080" w:themeColor="background1" w:themeShade="80"/>
          <w:lang w:val="da-DK"/>
        </w:rPr>
        <w:t>leverage</w:t>
      </w:r>
      <w:proofErr w:type="spellEnd"/>
      <w:r>
        <w:rPr>
          <w:rFonts w:asciiTheme="minorHAnsi" w:hAnsiTheme="minorHAnsi"/>
          <w:color w:val="808080" w:themeColor="background1" w:themeShade="80"/>
          <w:lang w:val="da-DK"/>
        </w:rPr>
        <w:t xml:space="preserve"> certifikat er et komplekst finansielt instrument, som er koblet til et eller flere aktiver, fx aktier, aktieindeks, råvarer, valutaer eller en kombination af disse.</w:t>
      </w:r>
    </w:p>
    <w:p w14:paraId="05CC2480"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03A0EF63"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Med et Bull certifikat tjener du penge, når markedet stiger, og taber penge, når markedet falder. Med et Bear certifikat tjener du penge, når markedet falder, og taber penge, når markedet stiger.</w:t>
      </w:r>
    </w:p>
    <w:p w14:paraId="500C54DF"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0420D9CA"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Uanset om du tror på et faldende eller stigende marked, er det vigtigt at vide, at Constant </w:t>
      </w:r>
      <w:proofErr w:type="spellStart"/>
      <w:r>
        <w:rPr>
          <w:rFonts w:asciiTheme="minorHAnsi" w:hAnsiTheme="minorHAnsi"/>
          <w:color w:val="808080" w:themeColor="background1" w:themeShade="80"/>
          <w:lang w:val="da-DK"/>
        </w:rPr>
        <w:t>leverage</w:t>
      </w:r>
      <w:proofErr w:type="spellEnd"/>
      <w:r>
        <w:rPr>
          <w:rFonts w:asciiTheme="minorHAnsi" w:hAnsiTheme="minorHAnsi"/>
          <w:color w:val="808080" w:themeColor="background1" w:themeShade="80"/>
          <w:lang w:val="da-DK"/>
        </w:rPr>
        <w:t xml:space="preserve"> certifikater altid indeholder en gearing, som er større end 1 eller mindre end -1. Gearing øger risikoen for at tabe dele af eller hele det investerede beløb. </w:t>
      </w:r>
    </w:p>
    <w:p w14:paraId="7B4FC7A3"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3EAAAD54"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Hvis det underliggende </w:t>
      </w:r>
      <w:proofErr w:type="gramStart"/>
      <w:r>
        <w:rPr>
          <w:rFonts w:asciiTheme="minorHAnsi" w:hAnsiTheme="minorHAnsi"/>
          <w:color w:val="808080" w:themeColor="background1" w:themeShade="80"/>
          <w:lang w:val="da-DK"/>
        </w:rPr>
        <w:t>aktiv</w:t>
      </w:r>
      <w:proofErr w:type="gramEnd"/>
      <w:r>
        <w:rPr>
          <w:rFonts w:asciiTheme="minorHAnsi" w:hAnsiTheme="minorHAnsi"/>
          <w:color w:val="808080" w:themeColor="background1" w:themeShade="80"/>
          <w:lang w:val="da-DK"/>
        </w:rPr>
        <w:t xml:space="preserve"> stiger 1%, vil et Bull certifikat med 2 gange gearing stige med den procentvise stigning men multipliceret med gearingsfaktoren, altså 1% x 2 = 2%, fratrukket omkostninger.</w:t>
      </w:r>
    </w:p>
    <w:p w14:paraId="34C845C2"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0228FFF1"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Gearingen er på dagsbasis, og derfor kan du over tid opleve, at </w:t>
      </w:r>
      <w:r>
        <w:rPr>
          <w:rFonts w:asciiTheme="minorHAnsi" w:hAnsiTheme="minorHAnsi"/>
          <w:color w:val="808080" w:themeColor="background1" w:themeShade="80"/>
          <w:lang w:val="da-DK"/>
        </w:rPr>
        <w:t>certifikatets værdi bliver højere eller lavere, end gearingen tilsiger.</w:t>
      </w:r>
    </w:p>
    <w:p w14:paraId="79EF7991"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7317B8A5" w14:textId="3D46790D"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Herunder finder du to forsimplede eksempler på, hvordan den daglige gearingseffekt kan påvirke afkastet. I første eksempel er brugt et Bull oliecertifikat med 2 gange gearing, og i det andet eksempel er brugt et Bear oliecertifikat med 2 gange gearing:</w:t>
      </w:r>
    </w:p>
    <w:p w14:paraId="148E84C5" w14:textId="62C7C7E2" w:rsidR="00485A2C" w:rsidRDefault="00506974" w:rsidP="005323DD">
      <w:pPr>
        <w:pStyle w:val="Brdtekst"/>
        <w:spacing w:line="244" w:lineRule="auto"/>
        <w:rPr>
          <w:rFonts w:asciiTheme="minorHAnsi" w:hAnsiTheme="minorHAnsi"/>
          <w:color w:val="808080" w:themeColor="background1" w:themeShade="80"/>
          <w:lang w:val="da-DK"/>
        </w:rPr>
      </w:pPr>
      <w:r>
        <w:rPr>
          <w:noProof/>
        </w:rPr>
        <w:drawing>
          <wp:anchor distT="36195" distB="36195" distL="114300" distR="114300" simplePos="0" relativeHeight="251665408" behindDoc="0" locked="0" layoutInCell="1" allowOverlap="1" wp14:anchorId="2340ADF0" wp14:editId="08DD20C5">
            <wp:simplePos x="0" y="0"/>
            <wp:positionH relativeFrom="column">
              <wp:align>left</wp:align>
            </wp:positionH>
            <wp:positionV relativeFrom="paragraph">
              <wp:posOffset>183515</wp:posOffset>
            </wp:positionV>
            <wp:extent cx="1973580" cy="1123950"/>
            <wp:effectExtent l="0" t="0" r="7620" b="0"/>
            <wp:wrapTopAndBottom/>
            <wp:docPr id="3" name="Billede 3"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ærmkli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3580" cy="1123950"/>
                    </a:xfrm>
                    <a:prstGeom prst="rect">
                      <a:avLst/>
                    </a:prstGeom>
                    <a:noFill/>
                  </pic:spPr>
                </pic:pic>
              </a:graphicData>
            </a:graphic>
            <wp14:sizeRelH relativeFrom="margin">
              <wp14:pctWidth>0</wp14:pctWidth>
            </wp14:sizeRelH>
            <wp14:sizeRelV relativeFrom="margin">
              <wp14:pctHeight>0</wp14:pctHeight>
            </wp14:sizeRelV>
          </wp:anchor>
        </w:drawing>
      </w:r>
    </w:p>
    <w:p w14:paraId="245346A9" w14:textId="77777777" w:rsidR="007E3978" w:rsidRDefault="007E3978" w:rsidP="005323DD">
      <w:pPr>
        <w:pStyle w:val="Brdtekst"/>
        <w:spacing w:line="244" w:lineRule="auto"/>
        <w:rPr>
          <w:rFonts w:asciiTheme="minorHAnsi" w:hAnsiTheme="minorHAnsi"/>
          <w:color w:val="808080" w:themeColor="background1" w:themeShade="80"/>
          <w:lang w:val="da-DK"/>
        </w:rPr>
      </w:pPr>
    </w:p>
    <w:p w14:paraId="29CA8A27" w14:textId="77777777" w:rsidR="007E3978" w:rsidRDefault="00373909" w:rsidP="00FF7FCC">
      <w:pPr>
        <w:pStyle w:val="Brdtekst"/>
        <w:spacing w:line="244" w:lineRule="auto"/>
        <w:rPr>
          <w:rFonts w:asciiTheme="minorHAnsi" w:eastAsia="Cambria" w:hAnsiTheme="minorHAnsi" w:cs="Cambria"/>
          <w:b/>
          <w:bCs/>
          <w:color w:val="000000" w:themeColor="text1"/>
          <w:lang w:val="da-DK"/>
        </w:rPr>
      </w:pPr>
      <w:r>
        <w:rPr>
          <w:noProof/>
          <w:color w:val="808080" w:themeColor="background1" w:themeShade="80"/>
          <w:lang w:val="da-DK" w:eastAsia="da-DK"/>
        </w:rPr>
        <w:drawing>
          <wp:anchor distT="36195" distB="36195" distL="114300" distR="114300" simplePos="0" relativeHeight="251661312" behindDoc="0" locked="0" layoutInCell="1" allowOverlap="1" wp14:anchorId="57D72357" wp14:editId="7373992B">
            <wp:simplePos x="0" y="0"/>
            <wp:positionH relativeFrom="column">
              <wp:align>left</wp:align>
            </wp:positionH>
            <wp:positionV relativeFrom="paragraph">
              <wp:posOffset>11430</wp:posOffset>
            </wp:positionV>
            <wp:extent cx="1962150" cy="1133475"/>
            <wp:effectExtent l="0" t="0" r="0" b="9525"/>
            <wp:wrapTopAndBottom/>
            <wp:docPr id="2" name="Billede 2"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0C152.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33475"/>
                    </a:xfrm>
                    <a:prstGeom prst="rect">
                      <a:avLst/>
                    </a:prstGeom>
                  </pic:spPr>
                </pic:pic>
              </a:graphicData>
            </a:graphic>
            <wp14:sizeRelH relativeFrom="margin">
              <wp14:pctWidth>0</wp14:pctWidth>
            </wp14:sizeRelH>
            <wp14:sizeRelV relativeFrom="margin">
              <wp14:pctHeight>0</wp14:pctHeight>
            </wp14:sizeRelV>
          </wp:anchor>
        </w:drawing>
      </w:r>
    </w:p>
    <w:p w14:paraId="5A22BBF4" w14:textId="77777777" w:rsidR="00FF7FCC" w:rsidRPr="007E3978" w:rsidRDefault="00FF7FCC" w:rsidP="00FF7FCC">
      <w:pPr>
        <w:pStyle w:val="Brdtekst"/>
        <w:spacing w:line="244" w:lineRule="auto"/>
        <w:rPr>
          <w:rFonts w:asciiTheme="minorHAnsi" w:eastAsia="Cambria" w:hAnsiTheme="minorHAnsi" w:cs="Cambria"/>
          <w:b/>
          <w:bCs/>
          <w:color w:val="000000" w:themeColor="text1"/>
          <w:lang w:val="da-DK"/>
        </w:rPr>
      </w:pPr>
      <w:r w:rsidRPr="007E3978">
        <w:rPr>
          <w:rFonts w:asciiTheme="minorHAnsi" w:eastAsia="Cambria" w:hAnsiTheme="minorHAnsi" w:cs="Cambria"/>
          <w:b/>
          <w:bCs/>
          <w:color w:val="000000" w:themeColor="text1"/>
          <w:lang w:val="da-DK"/>
        </w:rPr>
        <w:t>Strategi for placering</w:t>
      </w:r>
    </w:p>
    <w:p w14:paraId="3A100857" w14:textId="26D6E1AD"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Som det ses af tabellerne, kan en kontinuerlig trend forbedre afkastet, mens </w:t>
      </w:r>
      <w:proofErr w:type="spellStart"/>
      <w:r>
        <w:rPr>
          <w:rFonts w:asciiTheme="minorHAnsi" w:hAnsiTheme="minorHAnsi"/>
          <w:color w:val="808080" w:themeColor="background1" w:themeShade="80"/>
          <w:lang w:val="da-DK"/>
        </w:rPr>
        <w:t>volatilitet</w:t>
      </w:r>
      <w:proofErr w:type="spellEnd"/>
      <w:r>
        <w:rPr>
          <w:rFonts w:asciiTheme="minorHAnsi" w:hAnsiTheme="minorHAnsi"/>
          <w:color w:val="808080" w:themeColor="background1" w:themeShade="80"/>
          <w:lang w:val="da-DK"/>
        </w:rPr>
        <w:t xml:space="preserve">/markedsudsving kan forringe afkastet på certifikatet. Investorer bør kontinuerligt tage aktivt stilling til, om et </w:t>
      </w:r>
      <w:proofErr w:type="spellStart"/>
      <w:r>
        <w:rPr>
          <w:rFonts w:asciiTheme="minorHAnsi" w:hAnsiTheme="minorHAnsi"/>
          <w:color w:val="808080" w:themeColor="background1" w:themeShade="80"/>
          <w:lang w:val="da-DK"/>
        </w:rPr>
        <w:t>constant</w:t>
      </w:r>
      <w:proofErr w:type="spellEnd"/>
      <w:r>
        <w:rPr>
          <w:rFonts w:asciiTheme="minorHAnsi" w:hAnsiTheme="minorHAnsi"/>
          <w:color w:val="808080" w:themeColor="background1" w:themeShade="80"/>
          <w:lang w:val="da-DK"/>
        </w:rPr>
        <w:t xml:space="preserve"> </w:t>
      </w:r>
      <w:proofErr w:type="spellStart"/>
      <w:r>
        <w:rPr>
          <w:rFonts w:asciiTheme="minorHAnsi" w:hAnsiTheme="minorHAnsi"/>
          <w:color w:val="808080" w:themeColor="background1" w:themeShade="80"/>
          <w:lang w:val="da-DK"/>
        </w:rPr>
        <w:t>leverage</w:t>
      </w:r>
      <w:proofErr w:type="spellEnd"/>
      <w:r>
        <w:rPr>
          <w:rFonts w:asciiTheme="minorHAnsi" w:hAnsiTheme="minorHAnsi"/>
          <w:color w:val="808080" w:themeColor="background1" w:themeShade="80"/>
          <w:lang w:val="da-DK"/>
        </w:rPr>
        <w:t xml:space="preserve"> certifikat skal beholdes eller sælges. Produktets natur bevirker at køb og hold strategier ofte ikke er hensigtsmæssige.</w:t>
      </w:r>
    </w:p>
    <w:p w14:paraId="42E5B58B" w14:textId="77777777" w:rsidR="00FF7FCC" w:rsidRPr="00FF7FCC" w:rsidRDefault="00FF7FCC" w:rsidP="00FF7FCC">
      <w:pPr>
        <w:pStyle w:val="Brdtekst"/>
        <w:spacing w:line="244" w:lineRule="auto"/>
        <w:rPr>
          <w:rFonts w:asciiTheme="minorHAnsi" w:hAnsiTheme="minorHAnsi"/>
          <w:color w:val="808080" w:themeColor="background1" w:themeShade="80"/>
          <w:lang w:val="da-DK"/>
        </w:rPr>
      </w:pPr>
    </w:p>
    <w:p w14:paraId="01725E8E" w14:textId="77777777" w:rsidR="00FF7FCC" w:rsidRPr="007E3978" w:rsidRDefault="00FF7FCC" w:rsidP="00FF7FCC">
      <w:pPr>
        <w:pStyle w:val="Brdtekst"/>
        <w:spacing w:line="244" w:lineRule="auto"/>
        <w:rPr>
          <w:rFonts w:asciiTheme="minorHAnsi" w:eastAsia="Cambria" w:hAnsiTheme="minorHAnsi" w:cs="Cambria"/>
          <w:b/>
          <w:bCs/>
          <w:color w:val="000000" w:themeColor="text1"/>
          <w:lang w:val="da-DK"/>
        </w:rPr>
      </w:pPr>
      <w:r w:rsidRPr="007E3978">
        <w:rPr>
          <w:rFonts w:asciiTheme="minorHAnsi" w:eastAsia="Cambria" w:hAnsiTheme="minorHAnsi" w:cs="Cambria"/>
          <w:b/>
          <w:bCs/>
          <w:color w:val="000000" w:themeColor="text1"/>
          <w:lang w:val="da-DK"/>
        </w:rPr>
        <w:t>Handelsplads</w:t>
      </w:r>
    </w:p>
    <w:p w14:paraId="0CBC1638" w14:textId="4A48AD0C"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Constant </w:t>
      </w:r>
      <w:proofErr w:type="spellStart"/>
      <w:r>
        <w:rPr>
          <w:rFonts w:asciiTheme="minorHAnsi" w:hAnsiTheme="minorHAnsi"/>
          <w:color w:val="808080" w:themeColor="background1" w:themeShade="80"/>
          <w:lang w:val="da-DK"/>
        </w:rPr>
        <w:t>leverage</w:t>
      </w:r>
      <w:proofErr w:type="spellEnd"/>
      <w:r>
        <w:rPr>
          <w:rFonts w:asciiTheme="minorHAnsi" w:hAnsiTheme="minorHAnsi"/>
          <w:color w:val="808080" w:themeColor="background1" w:themeShade="80"/>
          <w:lang w:val="da-DK"/>
        </w:rPr>
        <w:t xml:space="preserve"> certifikater er børsnoterede værdipapirer. Det </w:t>
      </w:r>
      <w:r>
        <w:rPr>
          <w:rFonts w:asciiTheme="minorHAnsi" w:hAnsiTheme="minorHAnsi"/>
          <w:color w:val="808080" w:themeColor="background1" w:themeShade="80"/>
          <w:lang w:val="da-DK"/>
        </w:rPr>
        <w:t xml:space="preserve">betyder, at du nemt kan købe og sælge dem i en række </w:t>
      </w:r>
      <w:proofErr w:type="spellStart"/>
      <w:r>
        <w:rPr>
          <w:rFonts w:asciiTheme="minorHAnsi" w:hAnsiTheme="minorHAnsi"/>
          <w:color w:val="808080" w:themeColor="background1" w:themeShade="80"/>
          <w:lang w:val="da-DK"/>
        </w:rPr>
        <w:t>penge-institutter</w:t>
      </w:r>
      <w:proofErr w:type="spellEnd"/>
      <w:r>
        <w:rPr>
          <w:rFonts w:asciiTheme="minorHAnsi" w:hAnsiTheme="minorHAnsi"/>
          <w:color w:val="808080" w:themeColor="background1" w:themeShade="80"/>
          <w:lang w:val="da-DK"/>
        </w:rPr>
        <w:t xml:space="preserve">. Udsteder sørger typisk for en </w:t>
      </w:r>
      <w:proofErr w:type="spellStart"/>
      <w:r>
        <w:rPr>
          <w:rFonts w:asciiTheme="minorHAnsi" w:hAnsiTheme="minorHAnsi"/>
          <w:color w:val="808080" w:themeColor="background1" w:themeShade="80"/>
          <w:lang w:val="da-DK"/>
        </w:rPr>
        <w:t>market</w:t>
      </w:r>
      <w:proofErr w:type="spellEnd"/>
      <w:r>
        <w:rPr>
          <w:rFonts w:asciiTheme="minorHAnsi" w:hAnsiTheme="minorHAnsi"/>
          <w:color w:val="808080" w:themeColor="background1" w:themeShade="80"/>
          <w:lang w:val="da-DK"/>
        </w:rPr>
        <w:t xml:space="preserve"> </w:t>
      </w:r>
      <w:proofErr w:type="spellStart"/>
      <w:r>
        <w:rPr>
          <w:rFonts w:asciiTheme="minorHAnsi" w:hAnsiTheme="minorHAnsi"/>
          <w:color w:val="808080" w:themeColor="background1" w:themeShade="80"/>
          <w:lang w:val="da-DK"/>
        </w:rPr>
        <w:t>maker</w:t>
      </w:r>
      <w:proofErr w:type="spellEnd"/>
      <w:r>
        <w:rPr>
          <w:rFonts w:asciiTheme="minorHAnsi" w:hAnsiTheme="minorHAnsi"/>
          <w:color w:val="808080" w:themeColor="background1" w:themeShade="80"/>
          <w:lang w:val="da-DK"/>
        </w:rPr>
        <w:t xml:space="preserve"> ordning på alle udstedelser, som det kendes fra investeringsforeningerne og sikrer derigennem, at du som investor kan købe og sælge certifikaterne på børsen, hvis der ikke er andre aktive aktører.</w:t>
      </w:r>
    </w:p>
    <w:p w14:paraId="26AD2B8D"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5C6C8574"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I visse situationer, herunder i urolige markeder, kan man opleve at en </w:t>
      </w:r>
      <w:proofErr w:type="spellStart"/>
      <w:r>
        <w:rPr>
          <w:rFonts w:asciiTheme="minorHAnsi" w:hAnsiTheme="minorHAnsi"/>
          <w:color w:val="808080" w:themeColor="background1" w:themeShade="80"/>
          <w:lang w:val="da-DK"/>
        </w:rPr>
        <w:t>market</w:t>
      </w:r>
      <w:proofErr w:type="spellEnd"/>
      <w:r>
        <w:rPr>
          <w:rFonts w:asciiTheme="minorHAnsi" w:hAnsiTheme="minorHAnsi"/>
          <w:color w:val="808080" w:themeColor="background1" w:themeShade="80"/>
          <w:lang w:val="da-DK"/>
        </w:rPr>
        <w:t xml:space="preserve"> </w:t>
      </w:r>
      <w:proofErr w:type="spellStart"/>
      <w:r>
        <w:rPr>
          <w:rFonts w:asciiTheme="minorHAnsi" w:hAnsiTheme="minorHAnsi"/>
          <w:color w:val="808080" w:themeColor="background1" w:themeShade="80"/>
          <w:lang w:val="da-DK"/>
        </w:rPr>
        <w:t>maker</w:t>
      </w:r>
      <w:proofErr w:type="spellEnd"/>
      <w:r>
        <w:rPr>
          <w:rFonts w:asciiTheme="minorHAnsi" w:hAnsiTheme="minorHAnsi"/>
          <w:color w:val="808080" w:themeColor="background1" w:themeShade="80"/>
          <w:lang w:val="da-DK"/>
        </w:rPr>
        <w:t xml:space="preserve"> ikke kan sikre likviditet, hvilket kan betyde, at der ikke er mulighed for at sælge produkterne. Fravær af en </w:t>
      </w:r>
      <w:proofErr w:type="spellStart"/>
      <w:r>
        <w:rPr>
          <w:rFonts w:asciiTheme="minorHAnsi" w:hAnsiTheme="minorHAnsi"/>
          <w:color w:val="808080" w:themeColor="background1" w:themeShade="80"/>
          <w:lang w:val="da-DK"/>
        </w:rPr>
        <w:t>market</w:t>
      </w:r>
      <w:proofErr w:type="spellEnd"/>
      <w:r>
        <w:rPr>
          <w:rFonts w:asciiTheme="minorHAnsi" w:hAnsiTheme="minorHAnsi"/>
          <w:color w:val="808080" w:themeColor="background1" w:themeShade="80"/>
          <w:lang w:val="da-DK"/>
        </w:rPr>
        <w:t xml:space="preserve"> marker begrænser likviditeten og medfører en øget tabsrisiko.</w:t>
      </w:r>
    </w:p>
    <w:p w14:paraId="38259A1B" w14:textId="77777777" w:rsidR="00FF7FCC" w:rsidRPr="00FF7FCC" w:rsidRDefault="00FF7FCC" w:rsidP="00FF7FCC">
      <w:pPr>
        <w:pStyle w:val="Brdtekst"/>
        <w:spacing w:line="244" w:lineRule="auto"/>
        <w:rPr>
          <w:rFonts w:asciiTheme="minorHAnsi" w:hAnsiTheme="minorHAnsi"/>
          <w:color w:val="808080" w:themeColor="background1" w:themeShade="80"/>
          <w:lang w:val="da-DK"/>
        </w:rPr>
      </w:pPr>
    </w:p>
    <w:p w14:paraId="0E1E08C9" w14:textId="6DE28A0C" w:rsidR="00506974" w:rsidRPr="00506974" w:rsidRDefault="00506974" w:rsidP="00506974">
      <w:pPr>
        <w:pStyle w:val="Brdtekst"/>
        <w:spacing w:line="242" w:lineRule="auto"/>
        <w:rPr>
          <w:rFonts w:asciiTheme="minorHAnsi" w:eastAsia="Cambria" w:hAnsiTheme="minorHAnsi" w:cstheme="minorHAnsi"/>
          <w:b/>
          <w:bCs/>
          <w:color w:val="000000" w:themeColor="text1"/>
          <w:lang w:val="da-DK"/>
        </w:rPr>
      </w:pPr>
      <w:r w:rsidRPr="00506974">
        <w:rPr>
          <w:rFonts w:asciiTheme="minorHAnsi" w:eastAsia="Cambria" w:hAnsiTheme="minorHAnsi" w:cstheme="minorHAnsi"/>
          <w:b/>
          <w:bCs/>
          <w:color w:val="000000" w:themeColor="text1"/>
          <w:lang w:val="da-DK"/>
        </w:rPr>
        <w:t>Væsentlig</w:t>
      </w:r>
      <w:r>
        <w:rPr>
          <w:rFonts w:asciiTheme="minorHAnsi" w:eastAsia="Cambria" w:hAnsiTheme="minorHAnsi" w:cstheme="minorHAnsi"/>
          <w:b/>
          <w:bCs/>
          <w:color w:val="000000" w:themeColor="text1"/>
          <w:lang w:val="da-DK"/>
        </w:rPr>
        <w:t>e</w:t>
      </w:r>
      <w:r w:rsidRPr="00506974">
        <w:rPr>
          <w:rFonts w:asciiTheme="minorHAnsi" w:eastAsia="Cambria" w:hAnsiTheme="minorHAnsi" w:cstheme="minorHAnsi"/>
          <w:b/>
          <w:bCs/>
          <w:color w:val="000000" w:themeColor="text1"/>
          <w:lang w:val="da-DK"/>
        </w:rPr>
        <w:t xml:space="preserve"> risici</w:t>
      </w:r>
    </w:p>
    <w:p w14:paraId="3143C0CA" w14:textId="2828599E"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 xml:space="preserve">Certifikater er komplekse produkter, hvor det kan være svært at gennemskue alle risikoforhold, og hvordan afkast genereres. </w:t>
      </w:r>
      <w:bookmarkStart w:id="2" w:name="_Hlk107220208"/>
      <w:r w:rsidRPr="00506974">
        <w:rPr>
          <w:rFonts w:asciiTheme="minorHAnsi" w:hAnsiTheme="minorHAnsi" w:cstheme="minorHAnsi"/>
          <w:color w:val="808080" w:themeColor="background1" w:themeShade="80"/>
          <w:lang w:val="da-DK"/>
        </w:rPr>
        <w:t>Da produkterne er forskellige</w:t>
      </w:r>
      <w:r>
        <w:rPr>
          <w:rFonts w:asciiTheme="minorHAnsi" w:hAnsiTheme="minorHAnsi" w:cstheme="minorHAnsi"/>
          <w:color w:val="808080" w:themeColor="background1" w:themeShade="80"/>
          <w:lang w:val="da-DK"/>
        </w:rPr>
        <w:t>,</w:t>
      </w:r>
      <w:r w:rsidRPr="00506974">
        <w:rPr>
          <w:rFonts w:asciiTheme="minorHAnsi" w:hAnsiTheme="minorHAnsi" w:cstheme="minorHAnsi"/>
          <w:color w:val="808080" w:themeColor="background1" w:themeShade="80"/>
          <w:lang w:val="da-DK"/>
        </w:rPr>
        <w:t xml:space="preserve"> kan det variere, hvad der er de væsentligste risici. Du bør læse nærmere herom i udbudsmaterialet for det enkelte certifikat. Følgende er en ikke-udtømmende gennemgang af nogle af de typiske risici ved certifikater: </w:t>
      </w:r>
      <w:bookmarkEnd w:id="2"/>
    </w:p>
    <w:p w14:paraId="0F47E0F3"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538D7C67"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Markedsrisikoen er de bevægelser, der forekommer i markedet på de underliggende aktiver, og da kursen på certifikatet afspejler disse, vil en ændring i markedet også naturligt påvirke værdien af certifikatet.</w:t>
      </w:r>
    </w:p>
    <w:p w14:paraId="75EA691C"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3CCF5461"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 xml:space="preserve">Udstederrisiko er den risiko, indehaveren af certifikatet har mod udstederen. Certifikater er </w:t>
      </w:r>
      <w:proofErr w:type="spellStart"/>
      <w:r w:rsidRPr="00506974">
        <w:rPr>
          <w:rFonts w:asciiTheme="minorHAnsi" w:hAnsiTheme="minorHAnsi" w:cstheme="minorHAnsi"/>
          <w:color w:val="808080" w:themeColor="background1" w:themeShade="80"/>
          <w:lang w:val="da-DK"/>
        </w:rPr>
        <w:t>usikrede</w:t>
      </w:r>
      <w:proofErr w:type="spellEnd"/>
      <w:r w:rsidRPr="00506974">
        <w:rPr>
          <w:rFonts w:asciiTheme="minorHAnsi" w:hAnsiTheme="minorHAnsi" w:cstheme="minorHAnsi"/>
          <w:color w:val="808080" w:themeColor="background1" w:themeShade="80"/>
          <w:lang w:val="da-DK"/>
        </w:rPr>
        <w:t xml:space="preserve"> fordringer, som er underlagt EU-regler om restrukturering og afvikling (BRRD-direktivet). Det betyder, at du kan komme ud for, at </w:t>
      </w:r>
      <w:r w:rsidRPr="00506974">
        <w:rPr>
          <w:rFonts w:asciiTheme="minorHAnsi" w:hAnsiTheme="minorHAnsi" w:cstheme="minorHAnsi"/>
          <w:color w:val="808080" w:themeColor="background1" w:themeShade="80"/>
          <w:lang w:val="da-DK"/>
        </w:rPr>
        <w:lastRenderedPageBreak/>
        <w:t>myndighederne kan nedskrive hovedstolen helt eller delvist eller konvertere certifikaterne til ny aktiekapital i udstederen. En potentiel eller aktuel bankkrise vil også have stor betydning for likviditeten af dine investeringer.</w:t>
      </w:r>
    </w:p>
    <w:p w14:paraId="78E4D4CB"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7DC45B7D"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Likviditetsrisiko er risikoen for at certifikatet ikke kan handles</w:t>
      </w:r>
      <w:r w:rsidRPr="00506974">
        <w:rPr>
          <w:rFonts w:asciiTheme="minorHAnsi" w:hAnsiTheme="minorHAnsi" w:cstheme="minorHAnsi"/>
          <w:lang w:val="da-DK"/>
        </w:rPr>
        <w:t xml:space="preserve"> </w:t>
      </w:r>
      <w:r w:rsidRPr="00506974">
        <w:rPr>
          <w:rFonts w:asciiTheme="minorHAnsi" w:hAnsiTheme="minorHAnsi" w:cstheme="minorHAnsi"/>
          <w:color w:val="808080" w:themeColor="background1" w:themeShade="80"/>
          <w:lang w:val="da-DK"/>
        </w:rPr>
        <w:t xml:space="preserve">til den forventede kurs eller slet ikke kan handles, når en investor fx gerne vil sælge. Risikoen er mest udtalt ved markedsuro, hvor en eventuel </w:t>
      </w:r>
      <w:proofErr w:type="spellStart"/>
      <w:r w:rsidRPr="00506974">
        <w:rPr>
          <w:rFonts w:asciiTheme="minorHAnsi" w:hAnsiTheme="minorHAnsi" w:cstheme="minorHAnsi"/>
          <w:color w:val="808080" w:themeColor="background1" w:themeShade="80"/>
          <w:lang w:val="da-DK"/>
        </w:rPr>
        <w:t>market</w:t>
      </w:r>
      <w:proofErr w:type="spellEnd"/>
      <w:r w:rsidRPr="00506974">
        <w:rPr>
          <w:rFonts w:asciiTheme="minorHAnsi" w:hAnsiTheme="minorHAnsi" w:cstheme="minorHAnsi"/>
          <w:color w:val="808080" w:themeColor="background1" w:themeShade="80"/>
          <w:lang w:val="da-DK"/>
        </w:rPr>
        <w:t xml:space="preserve"> </w:t>
      </w:r>
      <w:proofErr w:type="spellStart"/>
      <w:r w:rsidRPr="00506974">
        <w:rPr>
          <w:rFonts w:asciiTheme="minorHAnsi" w:hAnsiTheme="minorHAnsi" w:cstheme="minorHAnsi"/>
          <w:color w:val="808080" w:themeColor="background1" w:themeShade="80"/>
          <w:lang w:val="da-DK"/>
        </w:rPr>
        <w:t>maker</w:t>
      </w:r>
      <w:proofErr w:type="spellEnd"/>
      <w:r w:rsidRPr="00506974">
        <w:rPr>
          <w:rFonts w:asciiTheme="minorHAnsi" w:hAnsiTheme="minorHAnsi" w:cstheme="minorHAnsi"/>
          <w:color w:val="808080" w:themeColor="background1" w:themeShade="80"/>
          <w:lang w:val="da-DK"/>
        </w:rPr>
        <w:t xml:space="preserve"> ikke kan skabe likviditet.</w:t>
      </w:r>
    </w:p>
    <w:p w14:paraId="70F6D267"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47F2AD55"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Stop-</w:t>
      </w:r>
      <w:proofErr w:type="spellStart"/>
      <w:r w:rsidRPr="00506974">
        <w:rPr>
          <w:rFonts w:asciiTheme="minorHAnsi" w:hAnsiTheme="minorHAnsi" w:cstheme="minorHAnsi"/>
          <w:color w:val="808080" w:themeColor="background1" w:themeShade="80"/>
          <w:lang w:val="da-DK"/>
        </w:rPr>
        <w:t>loss</w:t>
      </w:r>
      <w:proofErr w:type="spellEnd"/>
      <w:r w:rsidRPr="00506974">
        <w:rPr>
          <w:rFonts w:asciiTheme="minorHAnsi" w:hAnsiTheme="minorHAnsi" w:cstheme="minorHAnsi"/>
          <w:color w:val="808080" w:themeColor="background1" w:themeShade="80"/>
          <w:lang w:val="da-DK"/>
        </w:rPr>
        <w:t xml:space="preserve"> risiko er risikoen for at certifikatet bliver indfriet i forbindelse med store daglige tab. Det medfører, at investor træder ud af sin investering og ikke længere har mulighed for at tjene penge, hvis markedet vender. </w:t>
      </w:r>
      <w:bookmarkStart w:id="3" w:name="_Hlk107220705"/>
      <w:r w:rsidRPr="00506974">
        <w:rPr>
          <w:rFonts w:asciiTheme="minorHAnsi" w:hAnsiTheme="minorHAnsi" w:cstheme="minorHAnsi"/>
          <w:color w:val="808080" w:themeColor="background1" w:themeShade="80"/>
          <w:lang w:val="da-DK"/>
        </w:rPr>
        <w:t>I værste fald kan hele det investerede beløb være tabt.</w:t>
      </w:r>
      <w:bookmarkEnd w:id="3"/>
    </w:p>
    <w:p w14:paraId="43F06FB8"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7B95E998" w14:textId="4C31D66F" w:rsidR="00FF7FCC" w:rsidRDefault="00506974" w:rsidP="00506974">
      <w:pPr>
        <w:pStyle w:val="Brdtekst"/>
        <w:spacing w:line="244"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Afkoblingsrisikoen er risikoen for, at certifikatets værdi over tid vil afvige fra udviklingen i det underliggende aktiv, da værdien af certifikatet opgøres ud fra kursudviklingen dag til dag i det underliggende aktiv og ikke kursændringen over perioden</w:t>
      </w:r>
      <w:r>
        <w:rPr>
          <w:rFonts w:asciiTheme="minorHAnsi" w:hAnsiTheme="minorHAnsi" w:cstheme="minorHAnsi"/>
          <w:color w:val="808080" w:themeColor="background1" w:themeShade="80"/>
          <w:lang w:val="da-DK"/>
        </w:rPr>
        <w:t>.</w:t>
      </w:r>
    </w:p>
    <w:p w14:paraId="798A5D7F" w14:textId="77777777" w:rsidR="00506974" w:rsidRPr="00506974" w:rsidRDefault="00506974" w:rsidP="00506974">
      <w:pPr>
        <w:pStyle w:val="Brdtekst"/>
        <w:spacing w:line="244" w:lineRule="auto"/>
        <w:rPr>
          <w:rFonts w:asciiTheme="minorHAnsi" w:hAnsiTheme="minorHAnsi" w:cstheme="minorHAnsi"/>
          <w:color w:val="808080" w:themeColor="background1" w:themeShade="80"/>
          <w:lang w:val="da-DK"/>
        </w:rPr>
      </w:pPr>
    </w:p>
    <w:p w14:paraId="412F5B30" w14:textId="77777777" w:rsidR="00FF7FCC" w:rsidRPr="007E3978" w:rsidRDefault="00FF7FCC" w:rsidP="00FF7FCC">
      <w:pPr>
        <w:pStyle w:val="Brdtekst"/>
        <w:spacing w:line="244" w:lineRule="auto"/>
        <w:rPr>
          <w:rFonts w:asciiTheme="minorHAnsi" w:eastAsia="Cambria" w:hAnsiTheme="minorHAnsi" w:cs="Cambria"/>
          <w:b/>
          <w:bCs/>
          <w:color w:val="000000" w:themeColor="text1"/>
          <w:lang w:val="da-DK"/>
        </w:rPr>
      </w:pPr>
      <w:r w:rsidRPr="007E3978">
        <w:rPr>
          <w:rFonts w:asciiTheme="minorHAnsi" w:eastAsia="Cambria" w:hAnsiTheme="minorHAnsi" w:cs="Cambria"/>
          <w:b/>
          <w:bCs/>
          <w:color w:val="000000" w:themeColor="text1"/>
          <w:lang w:val="da-DK"/>
        </w:rPr>
        <w:t>Omkostninger</w:t>
      </w:r>
    </w:p>
    <w:p w14:paraId="1FFC0BA7" w14:textId="77777777" w:rsidR="00506974" w:rsidRDefault="00506974" w:rsidP="00506974">
      <w:pPr>
        <w:pStyle w:val="Brdtekst"/>
        <w:spacing w:line="242"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Omkostningerne udgøres af en administrationsomkostning og en finansieringsomkostning.</w:t>
      </w:r>
    </w:p>
    <w:p w14:paraId="2357BF71" w14:textId="77777777" w:rsidR="00506974" w:rsidRDefault="00506974" w:rsidP="00506974">
      <w:pPr>
        <w:pStyle w:val="Brdtekst"/>
        <w:spacing w:line="242" w:lineRule="auto"/>
        <w:rPr>
          <w:rFonts w:asciiTheme="minorHAnsi" w:hAnsiTheme="minorHAnsi"/>
          <w:color w:val="808080" w:themeColor="background1" w:themeShade="80"/>
          <w:lang w:val="da-DK"/>
        </w:rPr>
      </w:pPr>
    </w:p>
    <w:p w14:paraId="7858073F"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Pr>
          <w:rFonts w:asciiTheme="minorHAnsi" w:hAnsiTheme="minorHAnsi"/>
          <w:color w:val="808080" w:themeColor="background1" w:themeShade="80"/>
          <w:lang w:val="da-DK"/>
        </w:rPr>
        <w:t xml:space="preserve">Administrationsomkostningerne </w:t>
      </w:r>
      <w:r>
        <w:rPr>
          <w:rFonts w:asciiTheme="minorHAnsi" w:hAnsiTheme="minorHAnsi"/>
          <w:color w:val="808080" w:themeColor="background1" w:themeShade="80"/>
          <w:lang w:val="da-DK"/>
        </w:rPr>
        <w:t xml:space="preserve">fragår fra lukning på børsen, til der åbnes igen næste handelsdag og afspejles således hele tiden i prisen. Disse omkostninger fastsættes individuelt pr. udstedelse. Omkostningerne fastsættes på </w:t>
      </w:r>
      <w:r w:rsidRPr="00506974">
        <w:rPr>
          <w:rFonts w:asciiTheme="minorHAnsi" w:hAnsiTheme="minorHAnsi" w:cstheme="minorHAnsi"/>
          <w:color w:val="808080" w:themeColor="background1" w:themeShade="80"/>
          <w:lang w:val="da-DK"/>
        </w:rPr>
        <w:t>baggrund af en række forskellige faktorer og vil derfor variere afhængigt af certifikatet.</w:t>
      </w:r>
    </w:p>
    <w:p w14:paraId="641AFABD"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5530F7E4" w14:textId="0AE5ACF1" w:rsidR="00506974" w:rsidRPr="00506974" w:rsidRDefault="00506974" w:rsidP="00506974">
      <w:pPr>
        <w:spacing w:after="0" w:line="240" w:lineRule="auto"/>
        <w:rPr>
          <w:rFonts w:cstheme="minorHAnsi"/>
          <w:color w:val="808080" w:themeColor="background1" w:themeShade="80"/>
          <w:sz w:val="18"/>
          <w:szCs w:val="18"/>
        </w:rPr>
      </w:pPr>
      <w:r w:rsidRPr="00506974">
        <w:rPr>
          <w:rFonts w:cstheme="minorHAnsi"/>
          <w:color w:val="808080" w:themeColor="background1" w:themeShade="80"/>
          <w:sz w:val="18"/>
          <w:szCs w:val="18"/>
        </w:rPr>
        <w:t xml:space="preserve">Finansieringsomkostningerne dækker omkostninger i forbindelse med gearing og omkostninger i forbindelse med eventuelt aktieudlån. </w:t>
      </w:r>
    </w:p>
    <w:p w14:paraId="47BCBF02" w14:textId="77777777" w:rsidR="00506974" w:rsidRPr="00506974" w:rsidRDefault="00506974" w:rsidP="00506974">
      <w:pPr>
        <w:spacing w:after="0" w:line="240" w:lineRule="auto"/>
        <w:rPr>
          <w:rFonts w:cstheme="minorHAnsi"/>
          <w:color w:val="808080" w:themeColor="background1" w:themeShade="80"/>
          <w:sz w:val="18"/>
          <w:szCs w:val="18"/>
        </w:rPr>
      </w:pPr>
    </w:p>
    <w:p w14:paraId="7A12126D" w14:textId="52A2B9BF" w:rsidR="00506974" w:rsidRPr="00506974" w:rsidRDefault="00506974" w:rsidP="00506974">
      <w:pPr>
        <w:spacing w:after="0" w:line="240" w:lineRule="auto"/>
        <w:rPr>
          <w:rFonts w:cstheme="minorHAnsi"/>
          <w:color w:val="808080" w:themeColor="background1" w:themeShade="80"/>
          <w:sz w:val="18"/>
          <w:szCs w:val="18"/>
        </w:rPr>
      </w:pPr>
      <w:r w:rsidRPr="00506974">
        <w:rPr>
          <w:rFonts w:cstheme="minorHAnsi"/>
          <w:color w:val="808080" w:themeColor="background1" w:themeShade="80"/>
          <w:sz w:val="18"/>
          <w:szCs w:val="18"/>
        </w:rPr>
        <w:t>Finansieringsomkostningerne varierer dermed afhængig af finansieringsvaluta og gearingen i produktet og baserer sig typisk på korte markedsrenter tillagt en</w:t>
      </w:r>
      <w:r w:rsidRPr="00506974">
        <w:rPr>
          <w:color w:val="808080" w:themeColor="background1" w:themeShade="80"/>
          <w:sz w:val="18"/>
          <w:szCs w:val="18"/>
        </w:rPr>
        <w:t xml:space="preserve"> re</w:t>
      </w:r>
      <w:r w:rsidRPr="00506974">
        <w:rPr>
          <w:rFonts w:cstheme="minorHAnsi"/>
          <w:color w:val="808080" w:themeColor="background1" w:themeShade="80"/>
          <w:sz w:val="18"/>
          <w:szCs w:val="18"/>
        </w:rPr>
        <w:t>ntemarginal.</w:t>
      </w:r>
    </w:p>
    <w:p w14:paraId="2259E3C6"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6D83E64A"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Dertil kommer kurtagen for handel og eventuelle depotomkostninger, som du kan læse mere om i prislisten.</w:t>
      </w:r>
    </w:p>
    <w:p w14:paraId="17EFDC5A" w14:textId="77777777" w:rsidR="00FF7FCC" w:rsidRPr="00506974" w:rsidRDefault="00FF7FCC" w:rsidP="00FF7FCC">
      <w:pPr>
        <w:pStyle w:val="Brdtekst"/>
        <w:spacing w:line="244" w:lineRule="auto"/>
        <w:rPr>
          <w:rFonts w:asciiTheme="minorHAnsi" w:hAnsiTheme="minorHAnsi" w:cstheme="minorHAnsi"/>
          <w:color w:val="808080" w:themeColor="background1" w:themeShade="80"/>
          <w:lang w:val="da-DK"/>
        </w:rPr>
      </w:pPr>
    </w:p>
    <w:p w14:paraId="67E539EA" w14:textId="77777777" w:rsidR="00FF7FCC" w:rsidRPr="00506974" w:rsidRDefault="00FF7FCC" w:rsidP="00FF7FCC">
      <w:pPr>
        <w:pStyle w:val="Brdtekst"/>
        <w:spacing w:line="244" w:lineRule="auto"/>
        <w:rPr>
          <w:rFonts w:asciiTheme="minorHAnsi" w:eastAsia="Cambria" w:hAnsiTheme="minorHAnsi" w:cstheme="minorHAnsi"/>
          <w:b/>
          <w:bCs/>
          <w:color w:val="000000" w:themeColor="text1"/>
          <w:lang w:val="da-DK"/>
        </w:rPr>
      </w:pPr>
      <w:r w:rsidRPr="00506974">
        <w:rPr>
          <w:rFonts w:asciiTheme="minorHAnsi" w:eastAsia="Cambria" w:hAnsiTheme="minorHAnsi" w:cstheme="minorHAnsi"/>
          <w:b/>
          <w:bCs/>
          <w:color w:val="000000" w:themeColor="text1"/>
          <w:lang w:val="da-DK"/>
        </w:rPr>
        <w:t>Yderligere information</w:t>
      </w:r>
    </w:p>
    <w:p w14:paraId="75FC8B50"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Sørg altid for at læse udbudsmaterialet for det enkelte certifikat, herunder prospektet med de endelige vilkår og PRIIPS KID.</w:t>
      </w:r>
    </w:p>
    <w:p w14:paraId="74796A47"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70EF2D7C"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Ønsker du yderligere information, er du velkommen til at henvende dig i pengeinstituttet.</w:t>
      </w:r>
    </w:p>
    <w:p w14:paraId="23A40030" w14:textId="77777777" w:rsidR="005323DD" w:rsidRPr="00506974" w:rsidRDefault="005323DD" w:rsidP="00E3140B">
      <w:pPr>
        <w:pStyle w:val="Brdtekst"/>
        <w:spacing w:line="244" w:lineRule="auto"/>
        <w:rPr>
          <w:rFonts w:asciiTheme="minorHAnsi" w:hAnsiTheme="minorHAnsi" w:cstheme="minorHAnsi"/>
          <w:color w:val="808080" w:themeColor="background1" w:themeShade="80"/>
          <w:lang w:val="da-DK"/>
        </w:rPr>
      </w:pPr>
    </w:p>
    <w:p w14:paraId="65A7FB77" w14:textId="77777777" w:rsidR="00E3140B" w:rsidRPr="00506974" w:rsidRDefault="00E3140B" w:rsidP="00E3140B">
      <w:pPr>
        <w:pStyle w:val="Brdtekst"/>
        <w:spacing w:line="244" w:lineRule="auto"/>
        <w:rPr>
          <w:rFonts w:asciiTheme="minorHAnsi" w:eastAsia="Cambria" w:hAnsiTheme="minorHAnsi" w:cstheme="minorHAnsi"/>
          <w:b/>
          <w:bCs/>
          <w:color w:val="000000" w:themeColor="text1"/>
          <w:lang w:val="da-DK"/>
        </w:rPr>
      </w:pPr>
      <w:r w:rsidRPr="00506974">
        <w:rPr>
          <w:rFonts w:asciiTheme="minorHAnsi" w:eastAsia="Cambria" w:hAnsiTheme="minorHAnsi" w:cstheme="minorHAnsi"/>
          <w:b/>
          <w:bCs/>
          <w:color w:val="000000" w:themeColor="text1"/>
          <w:lang w:val="da-DK"/>
        </w:rPr>
        <w:t>Skat</w:t>
      </w:r>
    </w:p>
    <w:p w14:paraId="532768A1"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 xml:space="preserve">Afledte finansielle instrumenter beskattes som hovedregel efter </w:t>
      </w:r>
      <w:r w:rsidRPr="00506974">
        <w:rPr>
          <w:rFonts w:asciiTheme="minorHAnsi" w:hAnsiTheme="minorHAnsi" w:cstheme="minorHAnsi"/>
          <w:color w:val="808080" w:themeColor="background1" w:themeShade="80"/>
          <w:lang w:val="da-DK"/>
        </w:rPr>
        <w:t>kursgevinstlovens regler om finansielle kontrakter.</w:t>
      </w:r>
    </w:p>
    <w:p w14:paraId="29E5CA7F"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Det betyder, at summen af kontraktens (i) værdiudvikling og (ii) nettobetalinger for indkomståret, beskattes løbende efter et lagerprincip, og dermed fra år til år kan give positiv eller negativ likviditetspåvirkning.</w:t>
      </w:r>
    </w:p>
    <w:p w14:paraId="6F963417"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70593AE8"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 xml:space="preserve">For personer indgår gevinster i kapitalindkomsten, mens tab kan fradrages eller fremføres efter særlige regler. Hvis det finansielle instrument har tilknytning til erhvervsmæssig virksomhed, er der fradrag for tab, i nogle tilfælde begrænset fradrag. Pengeinstituttet tager ikke ansvar for, om afledte finansielle instrumenter har erhvervsmæssig tilknytning. </w:t>
      </w:r>
    </w:p>
    <w:p w14:paraId="2A35CD7E" w14:textId="77777777" w:rsidR="00506974" w:rsidRPr="00506974" w:rsidRDefault="00506974" w:rsidP="00506974">
      <w:pPr>
        <w:pStyle w:val="Brdtekst"/>
        <w:spacing w:line="242" w:lineRule="auto"/>
        <w:rPr>
          <w:rFonts w:asciiTheme="minorHAnsi" w:hAnsiTheme="minorHAnsi" w:cstheme="minorHAnsi"/>
          <w:color w:val="808080" w:themeColor="background1" w:themeShade="80"/>
          <w:lang w:val="da-DK"/>
        </w:rPr>
      </w:pPr>
    </w:p>
    <w:p w14:paraId="417CA37E" w14:textId="6D19344F" w:rsidR="006F737A" w:rsidRPr="00506974" w:rsidRDefault="00506974" w:rsidP="00506974">
      <w:pPr>
        <w:pStyle w:val="Brdtekst"/>
        <w:spacing w:line="244" w:lineRule="auto"/>
        <w:rPr>
          <w:rFonts w:asciiTheme="minorHAnsi" w:hAnsiTheme="minorHAnsi" w:cstheme="minorHAnsi"/>
          <w:color w:val="808080" w:themeColor="background1" w:themeShade="80"/>
          <w:lang w:val="da-DK"/>
        </w:rPr>
      </w:pPr>
      <w:r w:rsidRPr="00506974">
        <w:rPr>
          <w:rFonts w:asciiTheme="minorHAnsi" w:hAnsiTheme="minorHAnsi" w:cstheme="minorHAnsi"/>
          <w:color w:val="808080" w:themeColor="background1" w:themeShade="80"/>
          <w:lang w:val="da-DK"/>
        </w:rPr>
        <w:t>Den skattemæssige behandling kan variere og ændre sig afhængig af dine skattemæssige forhold, eller som følge af ændrede regler for beskatning. Vi anbefaler, at du kontakter en rådgiver om skattemæssige konsekvenser forud for indgåelse af finansielle kontrakter.</w:t>
      </w:r>
    </w:p>
    <w:p w14:paraId="6598DEFB" w14:textId="77777777" w:rsidR="00E3140B" w:rsidRPr="00E23F6E" w:rsidRDefault="00E3140B" w:rsidP="00AD6607">
      <w:pPr>
        <w:pStyle w:val="Brdtekst"/>
        <w:spacing w:line="244" w:lineRule="auto"/>
        <w:rPr>
          <w:rFonts w:asciiTheme="minorHAnsi" w:hAnsiTheme="minorHAnsi"/>
          <w:color w:val="808080" w:themeColor="background1" w:themeShade="80"/>
          <w:lang w:val="da-DK"/>
        </w:rPr>
      </w:pPr>
    </w:p>
    <w:p w14:paraId="34AF2497" w14:textId="77777777" w:rsidR="00142D8E" w:rsidRPr="00AD6607" w:rsidRDefault="00142D8E" w:rsidP="00AD6607">
      <w:pPr>
        <w:pStyle w:val="Brdtekst"/>
        <w:spacing w:line="244" w:lineRule="auto"/>
        <w:rPr>
          <w:rFonts w:asciiTheme="minorHAnsi" w:hAnsiTheme="minorHAnsi"/>
          <w:color w:val="808080" w:themeColor="background1" w:themeShade="80"/>
          <w:lang w:val="da-DK"/>
        </w:rPr>
      </w:pPr>
    </w:p>
    <w:p w14:paraId="3E1B93CA" w14:textId="77777777" w:rsidR="00057B4B" w:rsidRPr="006133A9" w:rsidRDefault="00057B4B" w:rsidP="00AD6607">
      <w:pPr>
        <w:pStyle w:val="Brdtekst"/>
        <w:spacing w:line="244" w:lineRule="auto"/>
        <w:rPr>
          <w:rFonts w:asciiTheme="minorHAnsi" w:hAnsiTheme="minorHAnsi"/>
          <w:color w:val="808080" w:themeColor="background1" w:themeShade="80"/>
          <w:lang w:val="da-DK"/>
        </w:rPr>
      </w:pPr>
    </w:p>
    <w:p w14:paraId="43018B8B" w14:textId="77777777" w:rsidR="006133A9" w:rsidRPr="006133A9" w:rsidRDefault="006133A9" w:rsidP="006133A9">
      <w:pPr>
        <w:pStyle w:val="Brdtekst"/>
        <w:spacing w:line="244" w:lineRule="auto"/>
        <w:rPr>
          <w:rFonts w:asciiTheme="minorHAnsi" w:hAnsiTheme="minorHAnsi"/>
          <w:color w:val="808080" w:themeColor="background1" w:themeShade="80"/>
          <w:lang w:val="da-DK"/>
        </w:rPr>
      </w:pPr>
    </w:p>
    <w:p w14:paraId="2D532133" w14:textId="77777777" w:rsidR="00CB5FC1" w:rsidRPr="00CB5FC1" w:rsidRDefault="00CB5FC1" w:rsidP="00CB5FC1">
      <w:pPr>
        <w:pStyle w:val="Brdtekst"/>
        <w:spacing w:line="244" w:lineRule="auto"/>
        <w:rPr>
          <w:rFonts w:asciiTheme="minorHAnsi" w:hAnsiTheme="minorHAnsi"/>
          <w:color w:val="808080" w:themeColor="background1" w:themeShade="80"/>
          <w:lang w:val="da-DK"/>
        </w:rPr>
      </w:pPr>
    </w:p>
    <w:p w14:paraId="692D62DD" w14:textId="77777777" w:rsidR="00CB5FC1" w:rsidRDefault="00CB5FC1" w:rsidP="00CB5FC1">
      <w:pPr>
        <w:pStyle w:val="Overskrift1"/>
        <w:spacing w:before="91"/>
        <w:ind w:left="0"/>
        <w:rPr>
          <w:rFonts w:asciiTheme="minorHAnsi" w:hAnsiTheme="minorHAnsi"/>
          <w:color w:val="000000" w:themeColor="text1"/>
          <w:lang w:val="da-DK"/>
        </w:rPr>
      </w:pPr>
    </w:p>
    <w:p w14:paraId="0D36A11D" w14:textId="77777777" w:rsidR="005B54B8" w:rsidRPr="00971A87" w:rsidRDefault="005B54B8" w:rsidP="00971A87">
      <w:pPr>
        <w:pStyle w:val="Brdtekst"/>
        <w:spacing w:before="11"/>
        <w:rPr>
          <w:rFonts w:asciiTheme="minorHAnsi" w:hAnsiTheme="minorHAnsi"/>
          <w:color w:val="808080" w:themeColor="background1" w:themeShade="80"/>
          <w:lang w:val="da-DK"/>
        </w:rPr>
      </w:pPr>
    </w:p>
    <w:p w14:paraId="03CF8D70" w14:textId="77777777" w:rsidR="004B28D5" w:rsidRPr="00971A87" w:rsidRDefault="004B28D5" w:rsidP="004B28D5">
      <w:pPr>
        <w:spacing w:after="0" w:line="240" w:lineRule="auto"/>
        <w:rPr>
          <w:color w:val="808080" w:themeColor="background1" w:themeShade="80"/>
        </w:rPr>
      </w:pPr>
    </w:p>
    <w:p w14:paraId="4C71A222" w14:textId="77777777" w:rsidR="004B28D5" w:rsidRPr="00971A87" w:rsidRDefault="004B28D5" w:rsidP="004B28D5">
      <w:pPr>
        <w:spacing w:after="0" w:line="240" w:lineRule="auto"/>
        <w:rPr>
          <w:color w:val="808080" w:themeColor="background1" w:themeShade="80"/>
        </w:rPr>
      </w:pPr>
    </w:p>
    <w:p w14:paraId="3E65BEC7" w14:textId="77777777" w:rsidR="004B28D5" w:rsidRPr="00971A87" w:rsidRDefault="004B28D5" w:rsidP="004B28D5">
      <w:pPr>
        <w:spacing w:after="0" w:line="240" w:lineRule="auto"/>
        <w:rPr>
          <w:color w:val="808080" w:themeColor="background1" w:themeShade="80"/>
        </w:rPr>
        <w:sectPr w:rsidR="004B28D5" w:rsidRPr="00971A87" w:rsidSect="005B54B8">
          <w:type w:val="continuous"/>
          <w:pgSz w:w="11906" w:h="16838"/>
          <w:pgMar w:top="1701" w:right="1134" w:bottom="1701" w:left="1134" w:header="708" w:footer="708" w:gutter="0"/>
          <w:cols w:num="3" w:space="708"/>
          <w:docGrid w:linePitch="360"/>
        </w:sectPr>
      </w:pPr>
    </w:p>
    <w:p w14:paraId="6054BC9F" w14:textId="77777777" w:rsidR="003A2BD3" w:rsidRDefault="003A2BD3" w:rsidP="004B28D5">
      <w:pPr>
        <w:spacing w:after="0" w:line="240" w:lineRule="auto"/>
        <w:rPr>
          <w:color w:val="808080" w:themeColor="background1" w:themeShade="80"/>
        </w:rPr>
      </w:pPr>
    </w:p>
    <w:p w14:paraId="2DD501EB" w14:textId="77777777" w:rsidR="00480C44" w:rsidRDefault="00480C44" w:rsidP="004B28D5">
      <w:pPr>
        <w:spacing w:after="0" w:line="240" w:lineRule="auto"/>
        <w:rPr>
          <w:color w:val="808080" w:themeColor="background1" w:themeShade="80"/>
        </w:rPr>
      </w:pPr>
    </w:p>
    <w:p w14:paraId="5FB76C43" w14:textId="77777777" w:rsidR="00480C44" w:rsidRDefault="00480C44" w:rsidP="004B28D5">
      <w:pPr>
        <w:spacing w:after="0" w:line="240" w:lineRule="auto"/>
        <w:rPr>
          <w:color w:val="808080" w:themeColor="background1" w:themeShade="80"/>
        </w:rPr>
      </w:pPr>
    </w:p>
    <w:p w14:paraId="1AC122A7" w14:textId="71E6D27D" w:rsidR="00480C44" w:rsidRPr="00971A87" w:rsidRDefault="00506974" w:rsidP="004B28D5">
      <w:pPr>
        <w:spacing w:after="0" w:line="240" w:lineRule="auto"/>
        <w:rPr>
          <w:color w:val="808080" w:themeColor="background1" w:themeShade="80"/>
        </w:rPr>
      </w:pPr>
      <w:r>
        <w:rPr>
          <w:noProof/>
        </w:rPr>
        <mc:AlternateContent>
          <mc:Choice Requires="wpg">
            <w:drawing>
              <wp:anchor distT="0" distB="0" distL="114300" distR="114300" simplePos="0" relativeHeight="251667456" behindDoc="0" locked="0" layoutInCell="1" allowOverlap="1" wp14:anchorId="41F64B82" wp14:editId="3F25E9AA">
                <wp:simplePos x="0" y="0"/>
                <wp:positionH relativeFrom="margin">
                  <wp:align>left</wp:align>
                </wp:positionH>
                <wp:positionV relativeFrom="paragraph">
                  <wp:posOffset>1917065</wp:posOffset>
                </wp:positionV>
                <wp:extent cx="5562600" cy="753110"/>
                <wp:effectExtent l="0" t="0" r="0" b="8890"/>
                <wp:wrapNone/>
                <wp:docPr id="5" name="Gruppe 5"/>
                <wp:cNvGraphicFramePr/>
                <a:graphic xmlns:a="http://schemas.openxmlformats.org/drawingml/2006/main">
                  <a:graphicData uri="http://schemas.microsoft.com/office/word/2010/wordprocessingGroup">
                    <wpg:wgp>
                      <wpg:cNvGrpSpPr/>
                      <wpg:grpSpPr>
                        <a:xfrm>
                          <a:off x="0" y="0"/>
                          <a:ext cx="5562600" cy="753110"/>
                          <a:chOff x="0" y="0"/>
                          <a:chExt cx="5563123" cy="753246"/>
                        </a:xfrm>
                      </wpg:grpSpPr>
                      <wps:wsp>
                        <wps:cNvPr id="19" name="Tekstfelt 2"/>
                        <wps:cNvSpPr txBox="1">
                          <a:spLocks noChangeArrowheads="1"/>
                        </wps:cNvSpPr>
                        <wps:spPr bwMode="auto">
                          <a:xfrm>
                            <a:off x="971439" y="19031"/>
                            <a:ext cx="4591684" cy="659129"/>
                          </a:xfrm>
                          <a:prstGeom prst="rect">
                            <a:avLst/>
                          </a:prstGeom>
                          <a:solidFill>
                            <a:srgbClr val="FFFFFF"/>
                          </a:solidFill>
                          <a:ln w="9525">
                            <a:noFill/>
                            <a:miter lim="800000"/>
                            <a:headEnd/>
                            <a:tailEnd/>
                          </a:ln>
                        </wps:spPr>
                        <wps:txbx>
                          <w:txbxContent>
                            <w:p w14:paraId="56A507ED" w14:textId="77777777" w:rsidR="00506974" w:rsidRDefault="00506974" w:rsidP="00506974">
                              <w:pPr>
                                <w:spacing w:after="0" w:line="240" w:lineRule="auto"/>
                                <w:rPr>
                                  <w:color w:val="808080" w:themeColor="background1" w:themeShade="80"/>
                                  <w:sz w:val="18"/>
                                  <w:szCs w:val="20"/>
                                </w:rPr>
                              </w:pPr>
                              <w:r>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142DEA5D" w14:textId="77777777" w:rsidR="00506974" w:rsidRDefault="00506974" w:rsidP="00506974">
                              <w:pPr>
                                <w:spacing w:after="0" w:line="240" w:lineRule="auto"/>
                                <w:rPr>
                                  <w:rFonts w:cs="Times New Roman"/>
                                  <w:color w:val="808080" w:themeColor="background1" w:themeShade="80"/>
                                  <w:sz w:val="18"/>
                                  <w:szCs w:val="20"/>
                                </w:rPr>
                              </w:pPr>
                              <w:r>
                                <w:rPr>
                                  <w:color w:val="808080" w:themeColor="background1" w:themeShade="80"/>
                                  <w:sz w:val="18"/>
                                  <w:szCs w:val="20"/>
                                </w:rPr>
                                <w:t xml:space="preserve">Du kan få mere at vide om risikomærkningen ved at kontakte os. </w:t>
                              </w:r>
                            </w:p>
                          </w:txbxContent>
                        </wps:txbx>
                        <wps:bodyPr rot="0" vert="horz" wrap="square" lIns="91440" tIns="45720" rIns="91440" bIns="45720" anchor="t" anchorCtr="0">
                          <a:spAutoFit/>
                        </wps:bodyPr>
                      </wps:wsp>
                      <wpg:grpSp>
                        <wpg:cNvPr id="20" name="Group 2"/>
                        <wpg:cNvGrpSpPr>
                          <a:grpSpLocks/>
                        </wpg:cNvGrpSpPr>
                        <wpg:grpSpPr bwMode="auto">
                          <a:xfrm>
                            <a:off x="0" y="0"/>
                            <a:ext cx="1062355" cy="753246"/>
                            <a:chOff x="0" y="0"/>
                            <a:chExt cx="988" cy="854"/>
                          </a:xfrm>
                        </wpg:grpSpPr>
                        <wps:wsp>
                          <wps:cNvPr id="21" name="Rectangle 6"/>
                          <wps:cNvSpPr>
                            <a:spLocks noChangeArrowheads="1"/>
                          </wps:cNvSpPr>
                          <wps:spPr bwMode="auto">
                            <a:xfrm>
                              <a:off x="0" y="472"/>
                              <a:ext cx="868" cy="36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5"/>
                          <wps:cNvSpPr>
                            <a:spLocks noChangeArrowheads="1"/>
                          </wps:cNvSpPr>
                          <wps:spPr bwMode="auto">
                            <a:xfrm>
                              <a:off x="0" y="0"/>
                              <a:ext cx="868" cy="47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4"/>
                          <wps:cNvSpPr txBox="1">
                            <a:spLocks noChangeArrowheads="1"/>
                          </wps:cNvSpPr>
                          <wps:spPr bwMode="auto">
                            <a:xfrm>
                              <a:off x="87" y="46"/>
                              <a:ext cx="90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7D3C" w14:textId="77777777" w:rsidR="00506974" w:rsidRDefault="00506974" w:rsidP="00506974">
                                <w:pPr>
                                  <w:ind w:right="2"/>
                                  <w:rPr>
                                    <w:rFonts w:ascii="Calibri" w:hAnsi="Calibri"/>
                                    <w:b/>
                                    <w:sz w:val="18"/>
                                  </w:rPr>
                                </w:pPr>
                                <w:r>
                                  <w:rPr>
                                    <w:rFonts w:ascii="Calibri" w:hAnsi="Calibri"/>
                                    <w:b/>
                                    <w:color w:val="FFFFFF"/>
                                    <w:w w:val="95"/>
                                    <w:sz w:val="18"/>
                                  </w:rPr>
                                  <w:t xml:space="preserve">Dette produkt er </w:t>
                                </w:r>
                                <w:r>
                                  <w:rPr>
                                    <w:rFonts w:ascii="Calibri" w:hAnsi="Calibri"/>
                                    <w:b/>
                                    <w:color w:val="FFFFFF"/>
                                    <w:sz w:val="18"/>
                                  </w:rPr>
                                  <w:t>risikomærket</w:t>
                                </w:r>
                              </w:p>
                            </w:txbxContent>
                          </wps:txbx>
                          <wps:bodyPr rot="0" vert="horz" wrap="square" lIns="0" tIns="0" rIns="0" bIns="0" anchor="t" anchorCtr="0" upright="1">
                            <a:noAutofit/>
                          </wps:bodyPr>
                        </wps:wsp>
                        <wps:wsp>
                          <wps:cNvPr id="24" name="Text Box 3"/>
                          <wps:cNvSpPr txBox="1">
                            <a:spLocks noChangeArrowheads="1"/>
                          </wps:cNvSpPr>
                          <wps:spPr bwMode="auto">
                            <a:xfrm>
                              <a:off x="87" y="561"/>
                              <a:ext cx="4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806A6" w14:textId="77777777" w:rsidR="00506974" w:rsidRDefault="00506974" w:rsidP="00506974">
                                <w:pPr>
                                  <w:spacing w:after="0" w:line="240" w:lineRule="auto"/>
                                  <w:rPr>
                                    <w:rFonts w:ascii="Calibri" w:hAnsi="Calibri"/>
                                    <w:b/>
                                    <w:color w:val="FFFFFF" w:themeColor="background1"/>
                                    <w:szCs w:val="28"/>
                                  </w:rPr>
                                </w:pPr>
                                <w:r>
                                  <w:rPr>
                                    <w:rFonts w:ascii="Calibri" w:hAnsi="Calibri"/>
                                    <w:b/>
                                    <w:color w:val="FFFFFF" w:themeColor="background1"/>
                                    <w:w w:val="95"/>
                                    <w:szCs w:val="28"/>
                                  </w:rPr>
                                  <w:t>RØD</w:t>
                                </w:r>
                              </w:p>
                            </w:txbxContent>
                          </wps:txbx>
                          <wps:bodyPr rot="0" vert="horz" wrap="square" lIns="0" tIns="0" rIns="0" bIns="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41F64B82" id="Gruppe 5" o:spid="_x0000_s1026" style="position:absolute;margin-left:0;margin-top:150.95pt;width:438pt;height:59.3pt;z-index:251667456;mso-position-horizontal:left;mso-position-horizontal-relative:margin;mso-height-relative:margin" coordsize="5563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">
                <v:shapetype id="_x0000_t202" coordsize="21600,21600" o:spt="202" path="m,l,21600r21600,l21600,xe">
                  <v:stroke joinstyle="miter"/>
                  <v:path gradientshapeok="t" o:connecttype="rect"/>
                </v:shapetype>
                <v:shape id="Tekstfelt 2" o:spid="_x0000_s1027" type="#_x0000_t202" style="position:absolute;left:9714;top:190;width:459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" stroked="f">
                  <v:textbox style="mso-fit-shape-to-text:t">
                    <w:txbxContent>
                      <w:p w14:paraId="56A507ED" w14:textId="77777777" w:rsidR="00506974" w:rsidRDefault="00506974" w:rsidP="00506974">
                        <w:pPr>
                          <w:spacing w:after="0" w:line="240" w:lineRule="auto"/>
                          <w:rPr>
                            <w:color w:val="808080" w:themeColor="background1" w:themeShade="80"/>
                            <w:sz w:val="18"/>
                            <w:szCs w:val="20"/>
                          </w:rPr>
                        </w:pPr>
                        <w:r>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142DEA5D" w14:textId="77777777" w:rsidR="00506974" w:rsidRDefault="00506974" w:rsidP="00506974">
                        <w:pPr>
                          <w:spacing w:after="0" w:line="240" w:lineRule="auto"/>
                          <w:rPr>
                            <w:rFonts w:cs="Times New Roman"/>
                            <w:color w:val="808080" w:themeColor="background1" w:themeShade="80"/>
                            <w:sz w:val="18"/>
                            <w:szCs w:val="20"/>
                          </w:rPr>
                        </w:pPr>
                        <w:r>
                          <w:rPr>
                            <w:color w:val="808080" w:themeColor="background1" w:themeShade="80"/>
                            <w:sz w:val="18"/>
                            <w:szCs w:val="20"/>
                          </w:rPr>
                          <w:t xml:space="preserve">Du kan få mere at vide om risikomærkningen ved at kontakte os. </w:t>
                        </w:r>
                      </w:p>
                    </w:txbxContent>
                  </v:textbox>
                </v:shape>
                <v:group id="Group 2" o:spid="_x0000_s1028" style="position:absolute;width:10623;height:7532" coordsize="98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6" o:spid="_x0000_s1029" style="position:absolute;top:472;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" fillcolor="#af2121" stroked="f"/>
                  <v:rect id="Rectangle 5" o:spid="_x0000_s1030" style="position:absolute;width:8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" fillcolor="#af2121" stroked="f"/>
                  <v:shape id="Text Box 4" o:spid="_x0000_s1031" type="#_x0000_t202" style="position:absolute;left:87;top:46;width:90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237D3C" w14:textId="77777777" w:rsidR="00506974" w:rsidRDefault="00506974" w:rsidP="00506974">
                          <w:pPr>
                            <w:ind w:right="2"/>
                            <w:rPr>
                              <w:rFonts w:ascii="Calibri" w:hAnsi="Calibri"/>
                              <w:b/>
                              <w:sz w:val="18"/>
                            </w:rPr>
                          </w:pPr>
                          <w:r>
                            <w:rPr>
                              <w:rFonts w:ascii="Calibri" w:hAnsi="Calibri"/>
                              <w:b/>
                              <w:color w:val="FFFFFF"/>
                              <w:w w:val="95"/>
                              <w:sz w:val="18"/>
                            </w:rPr>
                            <w:t xml:space="preserve">Dette produkt er </w:t>
                          </w:r>
                          <w:r>
                            <w:rPr>
                              <w:rFonts w:ascii="Calibri" w:hAnsi="Calibri"/>
                              <w:b/>
                              <w:color w:val="FFFFFF"/>
                              <w:sz w:val="18"/>
                            </w:rPr>
                            <w:t>risikomærket</w:t>
                          </w:r>
                        </w:p>
                      </w:txbxContent>
                    </v:textbox>
                  </v:shape>
                  <v:shape id="Text Box 3" o:spid="_x0000_s1032" type="#_x0000_t202" style="position:absolute;left:87;top:561;width:4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67806A6" w14:textId="77777777" w:rsidR="00506974" w:rsidRDefault="00506974" w:rsidP="00506974">
                          <w:pPr>
                            <w:spacing w:after="0" w:line="240" w:lineRule="auto"/>
                            <w:rPr>
                              <w:rFonts w:ascii="Calibri" w:hAnsi="Calibri"/>
                              <w:b/>
                              <w:color w:val="FFFFFF" w:themeColor="background1"/>
                              <w:szCs w:val="28"/>
                            </w:rPr>
                          </w:pPr>
                          <w:r>
                            <w:rPr>
                              <w:rFonts w:ascii="Calibri" w:hAnsi="Calibri"/>
                              <w:b/>
                              <w:color w:val="FFFFFF" w:themeColor="background1"/>
                              <w:w w:val="95"/>
                              <w:szCs w:val="28"/>
                            </w:rPr>
                            <w:t>RØD</w:t>
                          </w:r>
                        </w:p>
                      </w:txbxContent>
                    </v:textbox>
                  </v:shape>
                </v:group>
                <w10:wrap anchorx="margin"/>
              </v:group>
            </w:pict>
          </mc:Fallback>
        </mc:AlternateContent>
      </w:r>
      <w:r w:rsidR="00814B69">
        <w:rPr>
          <w:noProof/>
          <w:lang w:eastAsia="da-DK"/>
        </w:rPr>
        <mc:AlternateContent>
          <mc:Choice Requires="wpg">
            <w:drawing>
              <wp:anchor distT="0" distB="0" distL="114300" distR="114300" simplePos="0" relativeHeight="251663360" behindDoc="0" locked="0" layoutInCell="1" allowOverlap="1" wp14:anchorId="34C7FB49" wp14:editId="76FFF250">
                <wp:simplePos x="0" y="0"/>
                <wp:positionH relativeFrom="margin">
                  <wp:align>left</wp:align>
                </wp:positionH>
                <wp:positionV relativeFrom="paragraph">
                  <wp:posOffset>5514340</wp:posOffset>
                </wp:positionV>
                <wp:extent cx="5562600" cy="752963"/>
                <wp:effectExtent l="0" t="0" r="0" b="9525"/>
                <wp:wrapNone/>
                <wp:docPr id="7" name="Gruppe 7"/>
                <wp:cNvGraphicFramePr/>
                <a:graphic xmlns:a="http://schemas.openxmlformats.org/drawingml/2006/main">
                  <a:graphicData uri="http://schemas.microsoft.com/office/word/2010/wordprocessingGroup">
                    <wpg:wgp>
                      <wpg:cNvGrpSpPr/>
                      <wpg:grpSpPr>
                        <a:xfrm>
                          <a:off x="0" y="0"/>
                          <a:ext cx="5562600" cy="752963"/>
                          <a:chOff x="0" y="0"/>
                          <a:chExt cx="5563123" cy="753248"/>
                        </a:xfrm>
                      </wpg:grpSpPr>
                      <wps:wsp>
                        <wps:cNvPr id="25" name="Tekstfelt 2"/>
                        <wps:cNvSpPr txBox="1">
                          <a:spLocks noChangeArrowheads="1"/>
                        </wps:cNvSpPr>
                        <wps:spPr bwMode="auto">
                          <a:xfrm>
                            <a:off x="971439" y="19031"/>
                            <a:ext cx="4591684" cy="659129"/>
                          </a:xfrm>
                          <a:prstGeom prst="rect">
                            <a:avLst/>
                          </a:prstGeom>
                          <a:solidFill>
                            <a:srgbClr val="FFFFFF"/>
                          </a:solidFill>
                          <a:ln w="9525">
                            <a:noFill/>
                            <a:miter lim="800000"/>
                            <a:headEnd/>
                            <a:tailEnd/>
                          </a:ln>
                        </wps:spPr>
                        <wps:txbx>
                          <w:txbxContent>
                            <w:p w14:paraId="53FFDC40" w14:textId="77777777" w:rsidR="00814B69" w:rsidRPr="00321A8B" w:rsidRDefault="00814B69" w:rsidP="00814B69">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19B16063" w14:textId="77777777" w:rsidR="00814B69" w:rsidRPr="00321A8B" w:rsidRDefault="00814B69" w:rsidP="00814B69">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wps:txbx>
                        <wps:bodyPr rot="0" vert="horz" wrap="square" lIns="91440" tIns="45720" rIns="91440" bIns="45720" anchor="t" anchorCtr="0">
                          <a:spAutoFit/>
                        </wps:bodyPr>
                      </wps:wsp>
                      <wpg:grpSp>
                        <wpg:cNvPr id="26" name="Group 2"/>
                        <wpg:cNvGrpSpPr>
                          <a:grpSpLocks/>
                        </wpg:cNvGrpSpPr>
                        <wpg:grpSpPr bwMode="auto">
                          <a:xfrm>
                            <a:off x="0" y="0"/>
                            <a:ext cx="1062355" cy="753248"/>
                            <a:chOff x="744" y="136"/>
                            <a:chExt cx="988" cy="854"/>
                          </a:xfrm>
                        </wpg:grpSpPr>
                        <wps:wsp>
                          <wps:cNvPr id="27" name="Rectangle 6"/>
                          <wps:cNvSpPr>
                            <a:spLocks noChangeArrowheads="1"/>
                          </wps:cNvSpPr>
                          <wps:spPr bwMode="auto">
                            <a:xfrm>
                              <a:off x="744" y="608"/>
                              <a:ext cx="868" cy="36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
                          <wps:cNvSpPr>
                            <a:spLocks noChangeArrowheads="1"/>
                          </wps:cNvSpPr>
                          <wps:spPr bwMode="auto">
                            <a:xfrm>
                              <a:off x="744" y="136"/>
                              <a:ext cx="868" cy="47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4"/>
                          <wps:cNvSpPr txBox="1">
                            <a:spLocks noChangeArrowheads="1"/>
                          </wps:cNvSpPr>
                          <wps:spPr bwMode="auto">
                            <a:xfrm>
                              <a:off x="831" y="182"/>
                              <a:ext cx="90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3D21F" w14:textId="77777777" w:rsidR="00814B69" w:rsidRPr="00321A8B" w:rsidRDefault="00814B69" w:rsidP="00814B69">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wps:txbx>
                          <wps:bodyPr rot="0" vert="horz" wrap="square" lIns="0" tIns="0" rIns="0" bIns="0" anchor="t" anchorCtr="0" upright="1">
                            <a:noAutofit/>
                          </wps:bodyPr>
                        </wps:wsp>
                        <wps:wsp>
                          <wps:cNvPr id="31" name="Text Box 3"/>
                          <wps:cNvSpPr txBox="1">
                            <a:spLocks noChangeArrowheads="1"/>
                          </wps:cNvSpPr>
                          <wps:spPr bwMode="auto">
                            <a:xfrm>
                              <a:off x="831" y="697"/>
                              <a:ext cx="4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A93B5" w14:textId="77777777" w:rsidR="00814B69" w:rsidRPr="00321A8B" w:rsidRDefault="00814B69" w:rsidP="00814B69">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34C7FB49" id="Gruppe 7" o:spid="_x0000_s1033" style="position:absolute;margin-left:0;margin-top:434.2pt;width:438pt;height:59.3pt;z-index:251663360;mso-position-horizontal:left;mso-position-horizontal-relative:margin;mso-height-relative:margin" coordsize="5563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">
                <v:shape id="Tekstfelt 2" o:spid="_x0000_s1034" type="#_x0000_t202" style="position:absolute;left:9714;top:190;width:459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53FFDC40" w14:textId="77777777" w:rsidR="00814B69" w:rsidRPr="00321A8B" w:rsidRDefault="00814B69" w:rsidP="00814B69">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19B16063" w14:textId="77777777" w:rsidR="00814B69" w:rsidRPr="00321A8B" w:rsidRDefault="00814B69" w:rsidP="00814B69">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v:textbox>
                </v:shape>
                <v:group id="Group 2" o:spid="_x0000_s1035" style="position:absolute;width:10623;height:7532" coordorigin="744,136" coordsize="98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6" o:spid="_x0000_s1036" style="position:absolute;left:744;top:608;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" fillcolor="#af2121" stroked="f"/>
                  <v:rect id="Rectangle 5" o:spid="_x0000_s1037" style="position:absolute;left:744;top:136;width:8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" fillcolor="#af2121" stroked="f"/>
                  <v:shape id="Text Box 4" o:spid="_x0000_s1038" type="#_x0000_t202" style="position:absolute;left:831;top:182;width:90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F13D21F" w14:textId="77777777" w:rsidR="00814B69" w:rsidRPr="00321A8B" w:rsidRDefault="00814B69" w:rsidP="00814B69">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v:textbox>
                  </v:shape>
                  <v:shape id="Text Box 3" o:spid="_x0000_s1039" type="#_x0000_t202" style="position:absolute;left:831;top:697;width:4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09A93B5" w14:textId="77777777" w:rsidR="00814B69" w:rsidRPr="00321A8B" w:rsidRDefault="00814B69" w:rsidP="00814B69">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v:textbox>
                  </v:shape>
                </v:group>
                <w10:wrap anchorx="margin"/>
              </v:group>
            </w:pict>
          </mc:Fallback>
        </mc:AlternateContent>
      </w:r>
    </w:p>
    <w:sectPr w:rsidR="00480C44" w:rsidRPr="00971A87" w:rsidSect="004B28D5">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FormSans-Medium">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undryFormSans-Book">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18E"/>
    <w:multiLevelType w:val="hybridMultilevel"/>
    <w:tmpl w:val="81CA9454"/>
    <w:lvl w:ilvl="0" w:tplc="036475AA">
      <w:start w:val="1"/>
      <w:numFmt w:val="bullet"/>
      <w:lvlText w:val=""/>
      <w:lvlJc w:val="left"/>
      <w:pPr>
        <w:ind w:left="1062" w:hanging="227"/>
      </w:pPr>
      <w:rPr>
        <w:rFonts w:ascii="Wingdings" w:eastAsia="Wingdings" w:hAnsi="Wingdings" w:hint="default"/>
        <w:color w:val="060B7F"/>
        <w:sz w:val="18"/>
        <w:szCs w:val="18"/>
      </w:rPr>
    </w:lvl>
    <w:lvl w:ilvl="1" w:tplc="6262B296">
      <w:start w:val="1"/>
      <w:numFmt w:val="bullet"/>
      <w:lvlText w:val="•"/>
      <w:lvlJc w:val="left"/>
      <w:pPr>
        <w:ind w:left="1336" w:hanging="227"/>
      </w:pPr>
      <w:rPr>
        <w:rFonts w:hint="default"/>
      </w:rPr>
    </w:lvl>
    <w:lvl w:ilvl="2" w:tplc="9BB4C0E6">
      <w:start w:val="1"/>
      <w:numFmt w:val="bullet"/>
      <w:lvlText w:val="•"/>
      <w:lvlJc w:val="left"/>
      <w:pPr>
        <w:ind w:left="1609" w:hanging="227"/>
      </w:pPr>
      <w:rPr>
        <w:rFonts w:hint="default"/>
      </w:rPr>
    </w:lvl>
    <w:lvl w:ilvl="3" w:tplc="B48A8FD0">
      <w:start w:val="1"/>
      <w:numFmt w:val="bullet"/>
      <w:lvlText w:val="•"/>
      <w:lvlJc w:val="left"/>
      <w:pPr>
        <w:ind w:left="1883" w:hanging="227"/>
      </w:pPr>
      <w:rPr>
        <w:rFonts w:hint="default"/>
      </w:rPr>
    </w:lvl>
    <w:lvl w:ilvl="4" w:tplc="A4FE1C7C">
      <w:start w:val="1"/>
      <w:numFmt w:val="bullet"/>
      <w:lvlText w:val="•"/>
      <w:lvlJc w:val="left"/>
      <w:pPr>
        <w:ind w:left="2157" w:hanging="227"/>
      </w:pPr>
      <w:rPr>
        <w:rFonts w:hint="default"/>
      </w:rPr>
    </w:lvl>
    <w:lvl w:ilvl="5" w:tplc="05DE6190">
      <w:start w:val="1"/>
      <w:numFmt w:val="bullet"/>
      <w:lvlText w:val="•"/>
      <w:lvlJc w:val="left"/>
      <w:pPr>
        <w:ind w:left="2430" w:hanging="227"/>
      </w:pPr>
      <w:rPr>
        <w:rFonts w:hint="default"/>
      </w:rPr>
    </w:lvl>
    <w:lvl w:ilvl="6" w:tplc="4864713A">
      <w:start w:val="1"/>
      <w:numFmt w:val="bullet"/>
      <w:lvlText w:val="•"/>
      <w:lvlJc w:val="left"/>
      <w:pPr>
        <w:ind w:left="2704" w:hanging="227"/>
      </w:pPr>
      <w:rPr>
        <w:rFonts w:hint="default"/>
      </w:rPr>
    </w:lvl>
    <w:lvl w:ilvl="7" w:tplc="5AB8E2A2">
      <w:start w:val="1"/>
      <w:numFmt w:val="bullet"/>
      <w:lvlText w:val="•"/>
      <w:lvlJc w:val="left"/>
      <w:pPr>
        <w:ind w:left="2977" w:hanging="227"/>
      </w:pPr>
      <w:rPr>
        <w:rFonts w:hint="default"/>
      </w:rPr>
    </w:lvl>
    <w:lvl w:ilvl="8" w:tplc="E2F4667A">
      <w:start w:val="1"/>
      <w:numFmt w:val="bullet"/>
      <w:lvlText w:val="•"/>
      <w:lvlJc w:val="left"/>
      <w:pPr>
        <w:ind w:left="3251" w:hanging="227"/>
      </w:pPr>
      <w:rPr>
        <w:rFonts w:hint="default"/>
      </w:rPr>
    </w:lvl>
  </w:abstractNum>
  <w:abstractNum w:abstractNumId="1" w15:restartNumberingAfterBreak="0">
    <w:nsid w:val="2742422E"/>
    <w:multiLevelType w:val="hybridMultilevel"/>
    <w:tmpl w:val="280A6BF2"/>
    <w:lvl w:ilvl="0" w:tplc="AA285876">
      <w:start w:val="2"/>
      <w:numFmt w:val="decimal"/>
      <w:lvlText w:val="%1."/>
      <w:lvlJc w:val="left"/>
      <w:pPr>
        <w:ind w:left="349" w:hanging="227"/>
      </w:pPr>
      <w:rPr>
        <w:rFonts w:ascii="FoundryFormSans-Medium" w:eastAsia="FoundryFormSans-Medium" w:hAnsi="FoundryFormSans-Medium" w:cs="FoundryFormSans-Medium" w:hint="default"/>
        <w:color w:val="58595B"/>
        <w:w w:val="100"/>
        <w:sz w:val="18"/>
        <w:szCs w:val="18"/>
      </w:rPr>
    </w:lvl>
    <w:lvl w:ilvl="1" w:tplc="0AFCA840">
      <w:numFmt w:val="bullet"/>
      <w:lvlText w:val="•"/>
      <w:lvlJc w:val="left"/>
      <w:pPr>
        <w:ind w:left="750" w:hanging="227"/>
      </w:pPr>
      <w:rPr>
        <w:rFonts w:hint="default"/>
      </w:rPr>
    </w:lvl>
    <w:lvl w:ilvl="2" w:tplc="3C4C8D56">
      <w:numFmt w:val="bullet"/>
      <w:lvlText w:val="•"/>
      <w:lvlJc w:val="left"/>
      <w:pPr>
        <w:ind w:left="1160" w:hanging="227"/>
      </w:pPr>
      <w:rPr>
        <w:rFonts w:hint="default"/>
      </w:rPr>
    </w:lvl>
    <w:lvl w:ilvl="3" w:tplc="AB08F110">
      <w:numFmt w:val="bullet"/>
      <w:lvlText w:val="•"/>
      <w:lvlJc w:val="left"/>
      <w:pPr>
        <w:ind w:left="1570" w:hanging="227"/>
      </w:pPr>
      <w:rPr>
        <w:rFonts w:hint="default"/>
      </w:rPr>
    </w:lvl>
    <w:lvl w:ilvl="4" w:tplc="9272CADE">
      <w:numFmt w:val="bullet"/>
      <w:lvlText w:val="•"/>
      <w:lvlJc w:val="left"/>
      <w:pPr>
        <w:ind w:left="1980" w:hanging="227"/>
      </w:pPr>
      <w:rPr>
        <w:rFonts w:hint="default"/>
      </w:rPr>
    </w:lvl>
    <w:lvl w:ilvl="5" w:tplc="57BC5732">
      <w:numFmt w:val="bullet"/>
      <w:lvlText w:val="•"/>
      <w:lvlJc w:val="left"/>
      <w:pPr>
        <w:ind w:left="2390" w:hanging="227"/>
      </w:pPr>
      <w:rPr>
        <w:rFonts w:hint="default"/>
      </w:rPr>
    </w:lvl>
    <w:lvl w:ilvl="6" w:tplc="A39C3748">
      <w:numFmt w:val="bullet"/>
      <w:lvlText w:val="•"/>
      <w:lvlJc w:val="left"/>
      <w:pPr>
        <w:ind w:left="2801" w:hanging="227"/>
      </w:pPr>
      <w:rPr>
        <w:rFonts w:hint="default"/>
      </w:rPr>
    </w:lvl>
    <w:lvl w:ilvl="7" w:tplc="0FE40092">
      <w:numFmt w:val="bullet"/>
      <w:lvlText w:val="•"/>
      <w:lvlJc w:val="left"/>
      <w:pPr>
        <w:ind w:left="3211" w:hanging="227"/>
      </w:pPr>
      <w:rPr>
        <w:rFonts w:hint="default"/>
      </w:rPr>
    </w:lvl>
    <w:lvl w:ilvl="8" w:tplc="5AA6EF4A">
      <w:numFmt w:val="bullet"/>
      <w:lvlText w:val="•"/>
      <w:lvlJc w:val="left"/>
      <w:pPr>
        <w:ind w:left="3621" w:hanging="227"/>
      </w:pPr>
      <w:rPr>
        <w:rFonts w:hint="default"/>
      </w:rPr>
    </w:lvl>
  </w:abstractNum>
  <w:abstractNum w:abstractNumId="2" w15:restartNumberingAfterBreak="0">
    <w:nsid w:val="43F95E6E"/>
    <w:multiLevelType w:val="hybridMultilevel"/>
    <w:tmpl w:val="E4C29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A95D11"/>
    <w:multiLevelType w:val="hybridMultilevel"/>
    <w:tmpl w:val="2EE8FC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BF72A5"/>
    <w:multiLevelType w:val="hybridMultilevel"/>
    <w:tmpl w:val="EDB6F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5F7D99"/>
    <w:multiLevelType w:val="hybridMultilevel"/>
    <w:tmpl w:val="420AFC86"/>
    <w:lvl w:ilvl="0" w:tplc="3D508264">
      <w:start w:val="1"/>
      <w:numFmt w:val="bullet"/>
      <w:lvlText w:val=""/>
      <w:lvlJc w:val="left"/>
      <w:pPr>
        <w:ind w:left="558" w:hanging="227"/>
      </w:pPr>
      <w:rPr>
        <w:rFonts w:ascii="Wingdings" w:eastAsia="Wingdings" w:hAnsi="Wingdings" w:hint="default"/>
        <w:color w:val="060B7F"/>
        <w:sz w:val="18"/>
        <w:szCs w:val="18"/>
      </w:rPr>
    </w:lvl>
    <w:lvl w:ilvl="1" w:tplc="D90C40E4">
      <w:start w:val="1"/>
      <w:numFmt w:val="bullet"/>
      <w:lvlText w:val=""/>
      <w:lvlJc w:val="left"/>
      <w:pPr>
        <w:ind w:left="785" w:hanging="227"/>
      </w:pPr>
      <w:rPr>
        <w:rFonts w:ascii="Wingdings" w:eastAsia="Wingdings" w:hAnsi="Wingdings" w:hint="default"/>
        <w:color w:val="556771"/>
        <w:sz w:val="18"/>
        <w:szCs w:val="18"/>
      </w:rPr>
    </w:lvl>
    <w:lvl w:ilvl="2" w:tplc="E26252DA">
      <w:start w:val="1"/>
      <w:numFmt w:val="bullet"/>
      <w:lvlText w:val="•"/>
      <w:lvlJc w:val="left"/>
      <w:pPr>
        <w:ind w:left="1065" w:hanging="227"/>
      </w:pPr>
      <w:rPr>
        <w:rFonts w:hint="default"/>
      </w:rPr>
    </w:lvl>
    <w:lvl w:ilvl="3" w:tplc="FFF4CEA4">
      <w:start w:val="1"/>
      <w:numFmt w:val="bullet"/>
      <w:lvlText w:val="•"/>
      <w:lvlJc w:val="left"/>
      <w:pPr>
        <w:ind w:left="1344" w:hanging="227"/>
      </w:pPr>
      <w:rPr>
        <w:rFonts w:hint="default"/>
      </w:rPr>
    </w:lvl>
    <w:lvl w:ilvl="4" w:tplc="E9261B4E">
      <w:start w:val="1"/>
      <w:numFmt w:val="bullet"/>
      <w:lvlText w:val="•"/>
      <w:lvlJc w:val="left"/>
      <w:pPr>
        <w:ind w:left="1624" w:hanging="227"/>
      </w:pPr>
      <w:rPr>
        <w:rFonts w:hint="default"/>
      </w:rPr>
    </w:lvl>
    <w:lvl w:ilvl="5" w:tplc="C0E81B56">
      <w:start w:val="1"/>
      <w:numFmt w:val="bullet"/>
      <w:lvlText w:val="•"/>
      <w:lvlJc w:val="left"/>
      <w:pPr>
        <w:ind w:left="1904" w:hanging="227"/>
      </w:pPr>
      <w:rPr>
        <w:rFonts w:hint="default"/>
      </w:rPr>
    </w:lvl>
    <w:lvl w:ilvl="6" w:tplc="F56E4056">
      <w:start w:val="1"/>
      <w:numFmt w:val="bullet"/>
      <w:lvlText w:val="•"/>
      <w:lvlJc w:val="left"/>
      <w:pPr>
        <w:ind w:left="2184" w:hanging="227"/>
      </w:pPr>
      <w:rPr>
        <w:rFonts w:hint="default"/>
      </w:rPr>
    </w:lvl>
    <w:lvl w:ilvl="7" w:tplc="8AA4482A">
      <w:start w:val="1"/>
      <w:numFmt w:val="bullet"/>
      <w:lvlText w:val="•"/>
      <w:lvlJc w:val="left"/>
      <w:pPr>
        <w:ind w:left="2463" w:hanging="227"/>
      </w:pPr>
      <w:rPr>
        <w:rFonts w:hint="default"/>
      </w:rPr>
    </w:lvl>
    <w:lvl w:ilvl="8" w:tplc="CFDCB0BE">
      <w:start w:val="1"/>
      <w:numFmt w:val="bullet"/>
      <w:lvlText w:val="•"/>
      <w:lvlJc w:val="left"/>
      <w:pPr>
        <w:ind w:left="2743" w:hanging="227"/>
      </w:pPr>
      <w:rPr>
        <w:rFonts w:hint="default"/>
      </w:rPr>
    </w:lvl>
  </w:abstractNum>
  <w:abstractNum w:abstractNumId="6" w15:restartNumberingAfterBreak="0">
    <w:nsid w:val="59C1126E"/>
    <w:multiLevelType w:val="hybridMultilevel"/>
    <w:tmpl w:val="8FC63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F6319C8"/>
    <w:multiLevelType w:val="hybridMultilevel"/>
    <w:tmpl w:val="77988B44"/>
    <w:lvl w:ilvl="0" w:tplc="1A300322">
      <w:numFmt w:val="bullet"/>
      <w:lvlText w:val=""/>
      <w:lvlJc w:val="left"/>
      <w:pPr>
        <w:ind w:left="722" w:hanging="227"/>
      </w:pPr>
      <w:rPr>
        <w:rFonts w:ascii="Wingdings" w:eastAsia="Wingdings" w:hAnsi="Wingdings" w:cs="Wingdings" w:hint="default"/>
        <w:color w:val="060B7F"/>
        <w:w w:val="100"/>
        <w:sz w:val="18"/>
        <w:szCs w:val="18"/>
      </w:rPr>
    </w:lvl>
    <w:lvl w:ilvl="1" w:tplc="8C1474B2">
      <w:numFmt w:val="bullet"/>
      <w:lvlText w:val=""/>
      <w:lvlJc w:val="left"/>
      <w:pPr>
        <w:ind w:left="904" w:hanging="182"/>
      </w:pPr>
      <w:rPr>
        <w:rFonts w:ascii="Wingdings" w:eastAsia="Wingdings" w:hAnsi="Wingdings" w:cs="Wingdings" w:hint="default"/>
        <w:color w:val="556771"/>
        <w:w w:val="100"/>
        <w:sz w:val="18"/>
        <w:szCs w:val="18"/>
      </w:rPr>
    </w:lvl>
    <w:lvl w:ilvl="2" w:tplc="74A8F114">
      <w:numFmt w:val="bullet"/>
      <w:lvlText w:val="•"/>
      <w:lvlJc w:val="left"/>
      <w:pPr>
        <w:ind w:left="1185" w:hanging="182"/>
      </w:pPr>
    </w:lvl>
    <w:lvl w:ilvl="3" w:tplc="2C30943E">
      <w:numFmt w:val="bullet"/>
      <w:lvlText w:val="•"/>
      <w:lvlJc w:val="left"/>
      <w:pPr>
        <w:ind w:left="1471" w:hanging="182"/>
      </w:pPr>
    </w:lvl>
    <w:lvl w:ilvl="4" w:tplc="77544A28">
      <w:numFmt w:val="bullet"/>
      <w:lvlText w:val="•"/>
      <w:lvlJc w:val="left"/>
      <w:pPr>
        <w:ind w:left="1757" w:hanging="182"/>
      </w:pPr>
    </w:lvl>
    <w:lvl w:ilvl="5" w:tplc="78EECCE8">
      <w:numFmt w:val="bullet"/>
      <w:lvlText w:val="•"/>
      <w:lvlJc w:val="left"/>
      <w:pPr>
        <w:ind w:left="2043" w:hanging="182"/>
      </w:pPr>
    </w:lvl>
    <w:lvl w:ilvl="6" w:tplc="58ECDA20">
      <w:numFmt w:val="bullet"/>
      <w:lvlText w:val="•"/>
      <w:lvlJc w:val="left"/>
      <w:pPr>
        <w:ind w:left="2329" w:hanging="182"/>
      </w:pPr>
    </w:lvl>
    <w:lvl w:ilvl="7" w:tplc="7AA6CD8A">
      <w:numFmt w:val="bullet"/>
      <w:lvlText w:val="•"/>
      <w:lvlJc w:val="left"/>
      <w:pPr>
        <w:ind w:left="2615" w:hanging="182"/>
      </w:pPr>
    </w:lvl>
    <w:lvl w:ilvl="8" w:tplc="A094D75E">
      <w:numFmt w:val="bullet"/>
      <w:lvlText w:val="•"/>
      <w:lvlJc w:val="left"/>
      <w:pPr>
        <w:ind w:left="2900" w:hanging="182"/>
      </w:pPr>
    </w:lvl>
  </w:abstractNum>
  <w:abstractNum w:abstractNumId="8" w15:restartNumberingAfterBreak="0">
    <w:nsid w:val="60531AF1"/>
    <w:multiLevelType w:val="hybridMultilevel"/>
    <w:tmpl w:val="87D09996"/>
    <w:lvl w:ilvl="0" w:tplc="7D908A26">
      <w:start w:val="1"/>
      <w:numFmt w:val="decimal"/>
      <w:lvlText w:val="%1."/>
      <w:lvlJc w:val="left"/>
      <w:pPr>
        <w:ind w:left="569" w:hanging="227"/>
      </w:pPr>
      <w:rPr>
        <w:rFonts w:ascii="FoundryFormSans-Medium" w:eastAsia="FoundryFormSans-Medium" w:hAnsi="FoundryFormSans-Medium" w:cs="FoundryFormSans-Medium" w:hint="default"/>
        <w:color w:val="58595B"/>
        <w:spacing w:val="-3"/>
        <w:w w:val="100"/>
        <w:sz w:val="18"/>
        <w:szCs w:val="18"/>
      </w:rPr>
    </w:lvl>
    <w:lvl w:ilvl="1" w:tplc="7D744EFE">
      <w:numFmt w:val="bullet"/>
      <w:lvlText w:val="•"/>
      <w:lvlJc w:val="left"/>
      <w:pPr>
        <w:ind w:left="832" w:hanging="227"/>
      </w:pPr>
      <w:rPr>
        <w:rFonts w:hint="default"/>
      </w:rPr>
    </w:lvl>
    <w:lvl w:ilvl="2" w:tplc="EA78A6D0">
      <w:numFmt w:val="bullet"/>
      <w:lvlText w:val="•"/>
      <w:lvlJc w:val="left"/>
      <w:pPr>
        <w:ind w:left="1105" w:hanging="227"/>
      </w:pPr>
      <w:rPr>
        <w:rFonts w:hint="default"/>
      </w:rPr>
    </w:lvl>
    <w:lvl w:ilvl="3" w:tplc="1728A25A">
      <w:numFmt w:val="bullet"/>
      <w:lvlText w:val="•"/>
      <w:lvlJc w:val="left"/>
      <w:pPr>
        <w:ind w:left="1378" w:hanging="227"/>
      </w:pPr>
      <w:rPr>
        <w:rFonts w:hint="default"/>
      </w:rPr>
    </w:lvl>
    <w:lvl w:ilvl="4" w:tplc="D4460F62">
      <w:numFmt w:val="bullet"/>
      <w:lvlText w:val="•"/>
      <w:lvlJc w:val="left"/>
      <w:pPr>
        <w:ind w:left="1650" w:hanging="227"/>
      </w:pPr>
      <w:rPr>
        <w:rFonts w:hint="default"/>
      </w:rPr>
    </w:lvl>
    <w:lvl w:ilvl="5" w:tplc="6C4C0DB2">
      <w:numFmt w:val="bullet"/>
      <w:lvlText w:val="•"/>
      <w:lvlJc w:val="left"/>
      <w:pPr>
        <w:ind w:left="1923" w:hanging="227"/>
      </w:pPr>
      <w:rPr>
        <w:rFonts w:hint="default"/>
      </w:rPr>
    </w:lvl>
    <w:lvl w:ilvl="6" w:tplc="A02660A6">
      <w:numFmt w:val="bullet"/>
      <w:lvlText w:val="•"/>
      <w:lvlJc w:val="left"/>
      <w:pPr>
        <w:ind w:left="2196" w:hanging="227"/>
      </w:pPr>
      <w:rPr>
        <w:rFonts w:hint="default"/>
      </w:rPr>
    </w:lvl>
    <w:lvl w:ilvl="7" w:tplc="23249746">
      <w:numFmt w:val="bullet"/>
      <w:lvlText w:val="•"/>
      <w:lvlJc w:val="left"/>
      <w:pPr>
        <w:ind w:left="2469" w:hanging="227"/>
      </w:pPr>
      <w:rPr>
        <w:rFonts w:hint="default"/>
      </w:rPr>
    </w:lvl>
    <w:lvl w:ilvl="8" w:tplc="DBF4DF54">
      <w:numFmt w:val="bullet"/>
      <w:lvlText w:val="•"/>
      <w:lvlJc w:val="left"/>
      <w:pPr>
        <w:ind w:left="2741" w:hanging="227"/>
      </w:pPr>
      <w:rPr>
        <w:rFonts w:hint="default"/>
      </w:rPr>
    </w:lvl>
  </w:abstractNum>
  <w:abstractNum w:abstractNumId="9" w15:restartNumberingAfterBreak="0">
    <w:nsid w:val="64B67701"/>
    <w:multiLevelType w:val="hybridMultilevel"/>
    <w:tmpl w:val="527AA242"/>
    <w:lvl w:ilvl="0" w:tplc="3AC04B72">
      <w:numFmt w:val="bullet"/>
      <w:lvlText w:val=""/>
      <w:lvlJc w:val="left"/>
      <w:pPr>
        <w:ind w:left="1062" w:hanging="227"/>
      </w:pPr>
      <w:rPr>
        <w:rFonts w:ascii="Wingdings" w:eastAsia="Wingdings" w:hAnsi="Wingdings" w:cs="Wingdings" w:hint="default"/>
        <w:color w:val="060B7F"/>
        <w:w w:val="100"/>
        <w:sz w:val="18"/>
        <w:szCs w:val="18"/>
      </w:rPr>
    </w:lvl>
    <w:lvl w:ilvl="1" w:tplc="B0C4BF3E">
      <w:numFmt w:val="bullet"/>
      <w:lvlText w:val="•"/>
      <w:lvlJc w:val="left"/>
      <w:pPr>
        <w:ind w:left="1335" w:hanging="227"/>
      </w:pPr>
    </w:lvl>
    <w:lvl w:ilvl="2" w:tplc="408E0D8E">
      <w:numFmt w:val="bullet"/>
      <w:lvlText w:val="•"/>
      <w:lvlJc w:val="left"/>
      <w:pPr>
        <w:ind w:left="1610" w:hanging="227"/>
      </w:pPr>
    </w:lvl>
    <w:lvl w:ilvl="3" w:tplc="48182678">
      <w:numFmt w:val="bullet"/>
      <w:lvlText w:val="•"/>
      <w:lvlJc w:val="left"/>
      <w:pPr>
        <w:ind w:left="1885" w:hanging="227"/>
      </w:pPr>
    </w:lvl>
    <w:lvl w:ilvl="4" w:tplc="449CA824">
      <w:numFmt w:val="bullet"/>
      <w:lvlText w:val="•"/>
      <w:lvlJc w:val="left"/>
      <w:pPr>
        <w:ind w:left="2160" w:hanging="227"/>
      </w:pPr>
    </w:lvl>
    <w:lvl w:ilvl="5" w:tplc="FA1456FE">
      <w:numFmt w:val="bullet"/>
      <w:lvlText w:val="•"/>
      <w:lvlJc w:val="left"/>
      <w:pPr>
        <w:ind w:left="2436" w:hanging="227"/>
      </w:pPr>
    </w:lvl>
    <w:lvl w:ilvl="6" w:tplc="CD4EB5FC">
      <w:numFmt w:val="bullet"/>
      <w:lvlText w:val="•"/>
      <w:lvlJc w:val="left"/>
      <w:pPr>
        <w:ind w:left="2711" w:hanging="227"/>
      </w:pPr>
    </w:lvl>
    <w:lvl w:ilvl="7" w:tplc="2DB0416A">
      <w:numFmt w:val="bullet"/>
      <w:lvlText w:val="•"/>
      <w:lvlJc w:val="left"/>
      <w:pPr>
        <w:ind w:left="2986" w:hanging="227"/>
      </w:pPr>
    </w:lvl>
    <w:lvl w:ilvl="8" w:tplc="13DEAC60">
      <w:numFmt w:val="bullet"/>
      <w:lvlText w:val="•"/>
      <w:lvlJc w:val="left"/>
      <w:pPr>
        <w:ind w:left="3261" w:hanging="227"/>
      </w:pPr>
    </w:lvl>
  </w:abstractNum>
  <w:abstractNum w:abstractNumId="10" w15:restartNumberingAfterBreak="0">
    <w:nsid w:val="70B93B7B"/>
    <w:multiLevelType w:val="hybridMultilevel"/>
    <w:tmpl w:val="23A6DDCE"/>
    <w:lvl w:ilvl="0" w:tplc="B8262708">
      <w:start w:val="1"/>
      <w:numFmt w:val="bullet"/>
      <w:lvlText w:val=""/>
      <w:lvlJc w:val="left"/>
      <w:pPr>
        <w:ind w:left="722" w:hanging="227"/>
      </w:pPr>
      <w:rPr>
        <w:rFonts w:ascii="Wingdings" w:eastAsia="Wingdings" w:hAnsi="Wingdings" w:hint="default"/>
        <w:color w:val="060B7F"/>
        <w:sz w:val="18"/>
        <w:szCs w:val="18"/>
      </w:rPr>
    </w:lvl>
    <w:lvl w:ilvl="1" w:tplc="DED4F102">
      <w:start w:val="1"/>
      <w:numFmt w:val="bullet"/>
      <w:lvlText w:val="•"/>
      <w:lvlJc w:val="left"/>
      <w:pPr>
        <w:ind w:left="997" w:hanging="227"/>
      </w:pPr>
      <w:rPr>
        <w:rFonts w:hint="default"/>
      </w:rPr>
    </w:lvl>
    <w:lvl w:ilvl="2" w:tplc="9C7A976E">
      <w:start w:val="1"/>
      <w:numFmt w:val="bullet"/>
      <w:lvlText w:val="•"/>
      <w:lvlJc w:val="left"/>
      <w:pPr>
        <w:ind w:left="1272" w:hanging="227"/>
      </w:pPr>
      <w:rPr>
        <w:rFonts w:hint="default"/>
      </w:rPr>
    </w:lvl>
    <w:lvl w:ilvl="3" w:tplc="054C7208">
      <w:start w:val="1"/>
      <w:numFmt w:val="bullet"/>
      <w:lvlText w:val="•"/>
      <w:lvlJc w:val="left"/>
      <w:pPr>
        <w:ind w:left="1547" w:hanging="227"/>
      </w:pPr>
      <w:rPr>
        <w:rFonts w:hint="default"/>
      </w:rPr>
    </w:lvl>
    <w:lvl w:ilvl="4" w:tplc="2020BE24">
      <w:start w:val="1"/>
      <w:numFmt w:val="bullet"/>
      <w:lvlText w:val="•"/>
      <w:lvlJc w:val="left"/>
      <w:pPr>
        <w:ind w:left="1822" w:hanging="227"/>
      </w:pPr>
      <w:rPr>
        <w:rFonts w:hint="default"/>
      </w:rPr>
    </w:lvl>
    <w:lvl w:ilvl="5" w:tplc="F8881560">
      <w:start w:val="1"/>
      <w:numFmt w:val="bullet"/>
      <w:lvlText w:val="•"/>
      <w:lvlJc w:val="left"/>
      <w:pPr>
        <w:ind w:left="2097" w:hanging="227"/>
      </w:pPr>
      <w:rPr>
        <w:rFonts w:hint="default"/>
      </w:rPr>
    </w:lvl>
    <w:lvl w:ilvl="6" w:tplc="4AAC2082">
      <w:start w:val="1"/>
      <w:numFmt w:val="bullet"/>
      <w:lvlText w:val="•"/>
      <w:lvlJc w:val="left"/>
      <w:pPr>
        <w:ind w:left="2372" w:hanging="227"/>
      </w:pPr>
      <w:rPr>
        <w:rFonts w:hint="default"/>
      </w:rPr>
    </w:lvl>
    <w:lvl w:ilvl="7" w:tplc="85547380">
      <w:start w:val="1"/>
      <w:numFmt w:val="bullet"/>
      <w:lvlText w:val="•"/>
      <w:lvlJc w:val="left"/>
      <w:pPr>
        <w:ind w:left="2647" w:hanging="227"/>
      </w:pPr>
      <w:rPr>
        <w:rFonts w:hint="default"/>
      </w:rPr>
    </w:lvl>
    <w:lvl w:ilvl="8" w:tplc="881E6CCA">
      <w:start w:val="1"/>
      <w:numFmt w:val="bullet"/>
      <w:lvlText w:val="•"/>
      <w:lvlJc w:val="left"/>
      <w:pPr>
        <w:ind w:left="2922" w:hanging="227"/>
      </w:pPr>
      <w:rPr>
        <w:rFonts w:hint="default"/>
      </w:rPr>
    </w:lvl>
  </w:abstractNum>
  <w:num w:numId="1">
    <w:abstractNumId w:val="0"/>
  </w:num>
  <w:num w:numId="2">
    <w:abstractNumId w:val="10"/>
  </w:num>
  <w:num w:numId="3">
    <w:abstractNumId w:val="5"/>
  </w:num>
  <w:num w:numId="4">
    <w:abstractNumId w:val="4"/>
  </w:num>
  <w:num w:numId="5">
    <w:abstractNumId w:val="6"/>
  </w:num>
  <w:num w:numId="6">
    <w:abstractNumId w:val="9"/>
  </w:num>
  <w:num w:numId="7">
    <w:abstractNumId w:val="7"/>
  </w:num>
  <w:num w:numId="8">
    <w:abstractNumId w:val="3"/>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9E"/>
    <w:rsid w:val="000135D5"/>
    <w:rsid w:val="00026373"/>
    <w:rsid w:val="00057B4B"/>
    <w:rsid w:val="000971DC"/>
    <w:rsid w:val="00112881"/>
    <w:rsid w:val="0011688E"/>
    <w:rsid w:val="00142D8E"/>
    <w:rsid w:val="001470FF"/>
    <w:rsid w:val="00160C2F"/>
    <w:rsid w:val="00160D9A"/>
    <w:rsid w:val="00196DB3"/>
    <w:rsid w:val="001A34CC"/>
    <w:rsid w:val="001C2E4C"/>
    <w:rsid w:val="0026194A"/>
    <w:rsid w:val="0032049E"/>
    <w:rsid w:val="003268E0"/>
    <w:rsid w:val="00373909"/>
    <w:rsid w:val="003A2BD3"/>
    <w:rsid w:val="003A6357"/>
    <w:rsid w:val="003B4A02"/>
    <w:rsid w:val="003D779E"/>
    <w:rsid w:val="003E316E"/>
    <w:rsid w:val="00416DD7"/>
    <w:rsid w:val="00422A0A"/>
    <w:rsid w:val="00434EA8"/>
    <w:rsid w:val="0044798B"/>
    <w:rsid w:val="00480C44"/>
    <w:rsid w:val="00485A2C"/>
    <w:rsid w:val="004B08A9"/>
    <w:rsid w:val="004B28D5"/>
    <w:rsid w:val="004F6FE0"/>
    <w:rsid w:val="00506974"/>
    <w:rsid w:val="00532235"/>
    <w:rsid w:val="005323DD"/>
    <w:rsid w:val="00537E32"/>
    <w:rsid w:val="00546A39"/>
    <w:rsid w:val="005B54B8"/>
    <w:rsid w:val="006133A9"/>
    <w:rsid w:val="00624D82"/>
    <w:rsid w:val="00644EE5"/>
    <w:rsid w:val="006838A4"/>
    <w:rsid w:val="006A135D"/>
    <w:rsid w:val="006C672B"/>
    <w:rsid w:val="006F737A"/>
    <w:rsid w:val="00704767"/>
    <w:rsid w:val="00755528"/>
    <w:rsid w:val="007D059F"/>
    <w:rsid w:val="007E3978"/>
    <w:rsid w:val="00814B69"/>
    <w:rsid w:val="008D4361"/>
    <w:rsid w:val="0091350E"/>
    <w:rsid w:val="009217D1"/>
    <w:rsid w:val="009475AF"/>
    <w:rsid w:val="00971A87"/>
    <w:rsid w:val="00974C60"/>
    <w:rsid w:val="009A7A1D"/>
    <w:rsid w:val="00A17FB3"/>
    <w:rsid w:val="00A318A8"/>
    <w:rsid w:val="00AB3004"/>
    <w:rsid w:val="00AC06D6"/>
    <w:rsid w:val="00AD6607"/>
    <w:rsid w:val="00AE7B13"/>
    <w:rsid w:val="00B22F19"/>
    <w:rsid w:val="00B40E8D"/>
    <w:rsid w:val="00B552FD"/>
    <w:rsid w:val="00B87029"/>
    <w:rsid w:val="00C33C83"/>
    <w:rsid w:val="00C908C4"/>
    <w:rsid w:val="00CA3EBD"/>
    <w:rsid w:val="00CB1817"/>
    <w:rsid w:val="00CB5FC1"/>
    <w:rsid w:val="00D07259"/>
    <w:rsid w:val="00D07A32"/>
    <w:rsid w:val="00D5202A"/>
    <w:rsid w:val="00D87C0D"/>
    <w:rsid w:val="00DA3D8F"/>
    <w:rsid w:val="00DC79DC"/>
    <w:rsid w:val="00E0040E"/>
    <w:rsid w:val="00E15B1E"/>
    <w:rsid w:val="00E16654"/>
    <w:rsid w:val="00E23F6E"/>
    <w:rsid w:val="00E3140B"/>
    <w:rsid w:val="00E4135A"/>
    <w:rsid w:val="00E822FA"/>
    <w:rsid w:val="00FA48F4"/>
    <w:rsid w:val="00FC2ECA"/>
    <w:rsid w:val="00FD3535"/>
    <w:rsid w:val="00FE04D7"/>
    <w:rsid w:val="00FF7F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FA7EAA5"/>
  <w15:chartTrackingRefBased/>
  <w15:docId w15:val="{A30404E6-161C-4B84-89A0-327B9B3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1"/>
    <w:qFormat/>
    <w:rsid w:val="005B54B8"/>
    <w:pPr>
      <w:widowControl w:val="0"/>
      <w:autoSpaceDE w:val="0"/>
      <w:autoSpaceDN w:val="0"/>
      <w:spacing w:after="0" w:line="240" w:lineRule="auto"/>
      <w:ind w:left="836"/>
      <w:outlineLvl w:val="0"/>
    </w:pPr>
    <w:rPr>
      <w:rFonts w:ascii="Cambria" w:eastAsia="Cambria" w:hAnsi="Cambria" w:cs="Cambria"/>
      <w:b/>
      <w:bCs/>
      <w:sz w:val="18"/>
      <w:szCs w:val="18"/>
      <w:lang w:val="en-US"/>
    </w:rPr>
  </w:style>
  <w:style w:type="paragraph" w:styleId="Overskrift2">
    <w:name w:val="heading 2"/>
    <w:basedOn w:val="Normal"/>
    <w:next w:val="Normal"/>
    <w:link w:val="Overskrift2Tegn"/>
    <w:uiPriority w:val="9"/>
    <w:semiHidden/>
    <w:unhideWhenUsed/>
    <w:qFormat/>
    <w:rsid w:val="00AD66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B54B8"/>
    <w:rPr>
      <w:rFonts w:ascii="Cambria" w:eastAsia="Cambria" w:hAnsi="Cambria" w:cs="Cambria"/>
      <w:b/>
      <w:bCs/>
      <w:sz w:val="18"/>
      <w:szCs w:val="18"/>
      <w:lang w:val="en-US"/>
    </w:rPr>
  </w:style>
  <w:style w:type="paragraph" w:styleId="Brdtekst">
    <w:name w:val="Body Text"/>
    <w:basedOn w:val="Normal"/>
    <w:link w:val="BrdtekstTegn"/>
    <w:uiPriority w:val="1"/>
    <w:qFormat/>
    <w:rsid w:val="005B54B8"/>
    <w:pPr>
      <w:widowControl w:val="0"/>
      <w:autoSpaceDE w:val="0"/>
      <w:autoSpaceDN w:val="0"/>
      <w:spacing w:after="0" w:line="240" w:lineRule="auto"/>
    </w:pPr>
    <w:rPr>
      <w:rFonts w:ascii="FoundryFormSans-Book" w:eastAsia="FoundryFormSans-Book" w:hAnsi="FoundryFormSans-Book" w:cs="FoundryFormSans-Book"/>
      <w:sz w:val="18"/>
      <w:szCs w:val="18"/>
      <w:lang w:val="en-US"/>
    </w:rPr>
  </w:style>
  <w:style w:type="character" w:customStyle="1" w:styleId="BrdtekstTegn">
    <w:name w:val="Brødtekst Tegn"/>
    <w:basedOn w:val="Standardskrifttypeiafsnit"/>
    <w:link w:val="Brdtekst"/>
    <w:uiPriority w:val="1"/>
    <w:rsid w:val="005B54B8"/>
    <w:rPr>
      <w:rFonts w:ascii="FoundryFormSans-Book" w:eastAsia="FoundryFormSans-Book" w:hAnsi="FoundryFormSans-Book" w:cs="FoundryFormSans-Book"/>
      <w:sz w:val="18"/>
      <w:szCs w:val="18"/>
      <w:lang w:val="en-US"/>
    </w:rPr>
  </w:style>
  <w:style w:type="character" w:styleId="Kommentarhenvisning">
    <w:name w:val="annotation reference"/>
    <w:basedOn w:val="Standardskrifttypeiafsnit"/>
    <w:uiPriority w:val="99"/>
    <w:semiHidden/>
    <w:unhideWhenUsed/>
    <w:rsid w:val="005B54B8"/>
    <w:rPr>
      <w:sz w:val="16"/>
      <w:szCs w:val="16"/>
    </w:rPr>
  </w:style>
  <w:style w:type="paragraph" w:styleId="Kommentartekst">
    <w:name w:val="annotation text"/>
    <w:basedOn w:val="Normal"/>
    <w:link w:val="KommentartekstTegn"/>
    <w:uiPriority w:val="99"/>
    <w:semiHidden/>
    <w:unhideWhenUsed/>
    <w:rsid w:val="005B54B8"/>
    <w:pPr>
      <w:widowControl w:val="0"/>
      <w:autoSpaceDE w:val="0"/>
      <w:autoSpaceDN w:val="0"/>
      <w:spacing w:after="0" w:line="240" w:lineRule="auto"/>
    </w:pPr>
    <w:rPr>
      <w:rFonts w:ascii="FoundryFormSans-Book" w:eastAsia="FoundryFormSans-Book" w:hAnsi="FoundryFormSans-Book" w:cs="FoundryFormSans-Book"/>
      <w:sz w:val="20"/>
      <w:szCs w:val="20"/>
      <w:lang w:val="en-US"/>
    </w:rPr>
  </w:style>
  <w:style w:type="character" w:customStyle="1" w:styleId="KommentartekstTegn">
    <w:name w:val="Kommentartekst Tegn"/>
    <w:basedOn w:val="Standardskrifttypeiafsnit"/>
    <w:link w:val="Kommentartekst"/>
    <w:uiPriority w:val="99"/>
    <w:semiHidden/>
    <w:rsid w:val="005B54B8"/>
    <w:rPr>
      <w:rFonts w:ascii="FoundryFormSans-Book" w:eastAsia="FoundryFormSans-Book" w:hAnsi="FoundryFormSans-Book" w:cs="FoundryFormSans-Book"/>
      <w:sz w:val="20"/>
      <w:szCs w:val="20"/>
      <w:lang w:val="en-US"/>
    </w:rPr>
  </w:style>
  <w:style w:type="paragraph" w:styleId="Markeringsbobletekst">
    <w:name w:val="Balloon Text"/>
    <w:basedOn w:val="Normal"/>
    <w:link w:val="MarkeringsbobletekstTegn"/>
    <w:uiPriority w:val="99"/>
    <w:semiHidden/>
    <w:unhideWhenUsed/>
    <w:rsid w:val="005B54B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B54B8"/>
    <w:rPr>
      <w:rFonts w:ascii="Segoe UI" w:hAnsi="Segoe UI" w:cs="Segoe UI"/>
      <w:sz w:val="18"/>
      <w:szCs w:val="18"/>
    </w:rPr>
  </w:style>
  <w:style w:type="character" w:styleId="Hyperlink">
    <w:name w:val="Hyperlink"/>
    <w:basedOn w:val="Standardskrifttypeiafsnit"/>
    <w:uiPriority w:val="99"/>
    <w:unhideWhenUsed/>
    <w:rsid w:val="006A135D"/>
    <w:rPr>
      <w:color w:val="0000FF" w:themeColor="hyperlink"/>
      <w:u w:val="single"/>
    </w:rPr>
  </w:style>
  <w:style w:type="paragraph" w:styleId="Listeafsnit">
    <w:name w:val="List Paragraph"/>
    <w:basedOn w:val="Normal"/>
    <w:uiPriority w:val="1"/>
    <w:qFormat/>
    <w:rsid w:val="006133A9"/>
    <w:pPr>
      <w:widowControl w:val="0"/>
      <w:autoSpaceDE w:val="0"/>
      <w:autoSpaceDN w:val="0"/>
      <w:spacing w:before="6" w:after="0" w:line="240" w:lineRule="auto"/>
      <w:ind w:left="722" w:hanging="226"/>
    </w:pPr>
    <w:rPr>
      <w:rFonts w:ascii="FoundryFormSans-Book" w:eastAsia="FoundryFormSans-Book" w:hAnsi="FoundryFormSans-Book" w:cs="FoundryFormSans-Book"/>
      <w:lang w:val="en-US"/>
    </w:rPr>
  </w:style>
  <w:style w:type="character" w:customStyle="1" w:styleId="Overskrift2Tegn">
    <w:name w:val="Overskrift 2 Tegn"/>
    <w:basedOn w:val="Standardskrifttypeiafsnit"/>
    <w:link w:val="Overskrift2"/>
    <w:uiPriority w:val="9"/>
    <w:semiHidden/>
    <w:rsid w:val="00AD6607"/>
    <w:rPr>
      <w:rFonts w:asciiTheme="majorHAnsi" w:eastAsiaTheme="majorEastAsia" w:hAnsiTheme="majorHAnsi" w:cstheme="majorBidi"/>
      <w:color w:val="365F91" w:themeColor="accent1" w:themeShade="BF"/>
      <w:sz w:val="26"/>
      <w:szCs w:val="26"/>
    </w:rPr>
  </w:style>
  <w:style w:type="paragraph" w:styleId="Kommentaremne">
    <w:name w:val="annotation subject"/>
    <w:basedOn w:val="Kommentartekst"/>
    <w:next w:val="Kommentartekst"/>
    <w:link w:val="KommentaremneTegn"/>
    <w:uiPriority w:val="99"/>
    <w:semiHidden/>
    <w:unhideWhenUsed/>
    <w:rsid w:val="0011688E"/>
    <w:pPr>
      <w:widowControl/>
      <w:autoSpaceDE/>
      <w:autoSpaceDN/>
      <w:spacing w:after="200"/>
    </w:pPr>
    <w:rPr>
      <w:rFonts w:asciiTheme="minorHAnsi" w:eastAsiaTheme="minorHAnsi" w:hAnsiTheme="minorHAnsi" w:cstheme="minorBidi"/>
      <w:b/>
      <w:bCs/>
      <w:lang w:val="da-DK"/>
    </w:rPr>
  </w:style>
  <w:style w:type="character" w:customStyle="1" w:styleId="KommentaremneTegn">
    <w:name w:val="Kommentaremne Tegn"/>
    <w:basedOn w:val="KommentartekstTegn"/>
    <w:link w:val="Kommentaremne"/>
    <w:uiPriority w:val="99"/>
    <w:semiHidden/>
    <w:rsid w:val="0011688E"/>
    <w:rPr>
      <w:rFonts w:ascii="FoundryFormSans-Book" w:eastAsia="FoundryFormSans-Book" w:hAnsi="FoundryFormSans-Book" w:cs="FoundryFormSans-Book"/>
      <w:b/>
      <w:bCs/>
      <w:sz w:val="20"/>
      <w:szCs w:val="20"/>
      <w:lang w:val="en-US"/>
    </w:rPr>
  </w:style>
  <w:style w:type="paragraph" w:styleId="Korrektur">
    <w:name w:val="Revision"/>
    <w:hidden/>
    <w:uiPriority w:val="99"/>
    <w:semiHidden/>
    <w:rsid w:val="00373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78628">
      <w:bodyDiv w:val="1"/>
      <w:marLeft w:val="0"/>
      <w:marRight w:val="0"/>
      <w:marTop w:val="0"/>
      <w:marBottom w:val="0"/>
      <w:divBdr>
        <w:top w:val="none" w:sz="0" w:space="0" w:color="auto"/>
        <w:left w:val="none" w:sz="0" w:space="0" w:color="auto"/>
        <w:bottom w:val="none" w:sz="0" w:space="0" w:color="auto"/>
        <w:right w:val="none" w:sz="0" w:space="0" w:color="auto"/>
      </w:divBdr>
    </w:div>
    <w:div w:id="487213618">
      <w:bodyDiv w:val="1"/>
      <w:marLeft w:val="0"/>
      <w:marRight w:val="0"/>
      <w:marTop w:val="0"/>
      <w:marBottom w:val="0"/>
      <w:divBdr>
        <w:top w:val="none" w:sz="0" w:space="0" w:color="auto"/>
        <w:left w:val="none" w:sz="0" w:space="0" w:color="auto"/>
        <w:bottom w:val="none" w:sz="0" w:space="0" w:color="auto"/>
        <w:right w:val="none" w:sz="0" w:space="0" w:color="auto"/>
      </w:divBdr>
    </w:div>
    <w:div w:id="487670805">
      <w:bodyDiv w:val="1"/>
      <w:marLeft w:val="0"/>
      <w:marRight w:val="0"/>
      <w:marTop w:val="0"/>
      <w:marBottom w:val="0"/>
      <w:divBdr>
        <w:top w:val="none" w:sz="0" w:space="0" w:color="auto"/>
        <w:left w:val="none" w:sz="0" w:space="0" w:color="auto"/>
        <w:bottom w:val="none" w:sz="0" w:space="0" w:color="auto"/>
        <w:right w:val="none" w:sz="0" w:space="0" w:color="auto"/>
      </w:divBdr>
    </w:div>
    <w:div w:id="585846503">
      <w:bodyDiv w:val="1"/>
      <w:marLeft w:val="0"/>
      <w:marRight w:val="0"/>
      <w:marTop w:val="0"/>
      <w:marBottom w:val="0"/>
      <w:divBdr>
        <w:top w:val="none" w:sz="0" w:space="0" w:color="auto"/>
        <w:left w:val="none" w:sz="0" w:space="0" w:color="auto"/>
        <w:bottom w:val="none" w:sz="0" w:space="0" w:color="auto"/>
        <w:right w:val="none" w:sz="0" w:space="0" w:color="auto"/>
      </w:divBdr>
    </w:div>
    <w:div w:id="626621775">
      <w:bodyDiv w:val="1"/>
      <w:marLeft w:val="0"/>
      <w:marRight w:val="0"/>
      <w:marTop w:val="0"/>
      <w:marBottom w:val="0"/>
      <w:divBdr>
        <w:top w:val="none" w:sz="0" w:space="0" w:color="auto"/>
        <w:left w:val="none" w:sz="0" w:space="0" w:color="auto"/>
        <w:bottom w:val="none" w:sz="0" w:space="0" w:color="auto"/>
        <w:right w:val="none" w:sz="0" w:space="0" w:color="auto"/>
      </w:divBdr>
    </w:div>
    <w:div w:id="737289376">
      <w:bodyDiv w:val="1"/>
      <w:marLeft w:val="0"/>
      <w:marRight w:val="0"/>
      <w:marTop w:val="0"/>
      <w:marBottom w:val="0"/>
      <w:divBdr>
        <w:top w:val="none" w:sz="0" w:space="0" w:color="auto"/>
        <w:left w:val="none" w:sz="0" w:space="0" w:color="auto"/>
        <w:bottom w:val="none" w:sz="0" w:space="0" w:color="auto"/>
        <w:right w:val="none" w:sz="0" w:space="0" w:color="auto"/>
      </w:divBdr>
    </w:div>
    <w:div w:id="740103553">
      <w:bodyDiv w:val="1"/>
      <w:marLeft w:val="0"/>
      <w:marRight w:val="0"/>
      <w:marTop w:val="0"/>
      <w:marBottom w:val="0"/>
      <w:divBdr>
        <w:top w:val="none" w:sz="0" w:space="0" w:color="auto"/>
        <w:left w:val="none" w:sz="0" w:space="0" w:color="auto"/>
        <w:bottom w:val="none" w:sz="0" w:space="0" w:color="auto"/>
        <w:right w:val="none" w:sz="0" w:space="0" w:color="auto"/>
      </w:divBdr>
    </w:div>
    <w:div w:id="967474804">
      <w:bodyDiv w:val="1"/>
      <w:marLeft w:val="0"/>
      <w:marRight w:val="0"/>
      <w:marTop w:val="0"/>
      <w:marBottom w:val="0"/>
      <w:divBdr>
        <w:top w:val="none" w:sz="0" w:space="0" w:color="auto"/>
        <w:left w:val="none" w:sz="0" w:space="0" w:color="auto"/>
        <w:bottom w:val="none" w:sz="0" w:space="0" w:color="auto"/>
        <w:right w:val="none" w:sz="0" w:space="0" w:color="auto"/>
      </w:divBdr>
    </w:div>
    <w:div w:id="1045524341">
      <w:bodyDiv w:val="1"/>
      <w:marLeft w:val="0"/>
      <w:marRight w:val="0"/>
      <w:marTop w:val="0"/>
      <w:marBottom w:val="0"/>
      <w:divBdr>
        <w:top w:val="none" w:sz="0" w:space="0" w:color="auto"/>
        <w:left w:val="none" w:sz="0" w:space="0" w:color="auto"/>
        <w:bottom w:val="none" w:sz="0" w:space="0" w:color="auto"/>
        <w:right w:val="none" w:sz="0" w:space="0" w:color="auto"/>
      </w:divBdr>
    </w:div>
    <w:div w:id="1251888048">
      <w:bodyDiv w:val="1"/>
      <w:marLeft w:val="0"/>
      <w:marRight w:val="0"/>
      <w:marTop w:val="0"/>
      <w:marBottom w:val="0"/>
      <w:divBdr>
        <w:top w:val="none" w:sz="0" w:space="0" w:color="auto"/>
        <w:left w:val="none" w:sz="0" w:space="0" w:color="auto"/>
        <w:bottom w:val="none" w:sz="0" w:space="0" w:color="auto"/>
        <w:right w:val="none" w:sz="0" w:space="0" w:color="auto"/>
      </w:divBdr>
    </w:div>
    <w:div w:id="1278483788">
      <w:bodyDiv w:val="1"/>
      <w:marLeft w:val="0"/>
      <w:marRight w:val="0"/>
      <w:marTop w:val="0"/>
      <w:marBottom w:val="0"/>
      <w:divBdr>
        <w:top w:val="none" w:sz="0" w:space="0" w:color="auto"/>
        <w:left w:val="none" w:sz="0" w:space="0" w:color="auto"/>
        <w:bottom w:val="none" w:sz="0" w:space="0" w:color="auto"/>
        <w:right w:val="none" w:sz="0" w:space="0" w:color="auto"/>
      </w:divBdr>
    </w:div>
    <w:div w:id="1307012570">
      <w:bodyDiv w:val="1"/>
      <w:marLeft w:val="0"/>
      <w:marRight w:val="0"/>
      <w:marTop w:val="0"/>
      <w:marBottom w:val="0"/>
      <w:divBdr>
        <w:top w:val="none" w:sz="0" w:space="0" w:color="auto"/>
        <w:left w:val="none" w:sz="0" w:space="0" w:color="auto"/>
        <w:bottom w:val="none" w:sz="0" w:space="0" w:color="auto"/>
        <w:right w:val="none" w:sz="0" w:space="0" w:color="auto"/>
      </w:divBdr>
    </w:div>
    <w:div w:id="1361663610">
      <w:bodyDiv w:val="1"/>
      <w:marLeft w:val="0"/>
      <w:marRight w:val="0"/>
      <w:marTop w:val="0"/>
      <w:marBottom w:val="0"/>
      <w:divBdr>
        <w:top w:val="none" w:sz="0" w:space="0" w:color="auto"/>
        <w:left w:val="none" w:sz="0" w:space="0" w:color="auto"/>
        <w:bottom w:val="none" w:sz="0" w:space="0" w:color="auto"/>
        <w:right w:val="none" w:sz="0" w:space="0" w:color="auto"/>
      </w:divBdr>
    </w:div>
    <w:div w:id="1367953014">
      <w:bodyDiv w:val="1"/>
      <w:marLeft w:val="0"/>
      <w:marRight w:val="0"/>
      <w:marTop w:val="0"/>
      <w:marBottom w:val="0"/>
      <w:divBdr>
        <w:top w:val="none" w:sz="0" w:space="0" w:color="auto"/>
        <w:left w:val="none" w:sz="0" w:space="0" w:color="auto"/>
        <w:bottom w:val="none" w:sz="0" w:space="0" w:color="auto"/>
        <w:right w:val="none" w:sz="0" w:space="0" w:color="auto"/>
      </w:divBdr>
    </w:div>
    <w:div w:id="1573731235">
      <w:bodyDiv w:val="1"/>
      <w:marLeft w:val="0"/>
      <w:marRight w:val="0"/>
      <w:marTop w:val="0"/>
      <w:marBottom w:val="0"/>
      <w:divBdr>
        <w:top w:val="none" w:sz="0" w:space="0" w:color="auto"/>
        <w:left w:val="none" w:sz="0" w:space="0" w:color="auto"/>
        <w:bottom w:val="none" w:sz="0" w:space="0" w:color="auto"/>
        <w:right w:val="none" w:sz="0" w:space="0" w:color="auto"/>
      </w:divBdr>
    </w:div>
    <w:div w:id="1915891729">
      <w:bodyDiv w:val="1"/>
      <w:marLeft w:val="0"/>
      <w:marRight w:val="0"/>
      <w:marTop w:val="0"/>
      <w:marBottom w:val="0"/>
      <w:divBdr>
        <w:top w:val="none" w:sz="0" w:space="0" w:color="auto"/>
        <w:left w:val="none" w:sz="0" w:space="0" w:color="auto"/>
        <w:bottom w:val="none" w:sz="0" w:space="0" w:color="auto"/>
        <w:right w:val="none" w:sz="0" w:space="0" w:color="auto"/>
      </w:divBdr>
    </w:div>
    <w:div w:id="2078283701">
      <w:bodyDiv w:val="1"/>
      <w:marLeft w:val="0"/>
      <w:marRight w:val="0"/>
      <w:marTop w:val="0"/>
      <w:marBottom w:val="0"/>
      <w:divBdr>
        <w:top w:val="none" w:sz="0" w:space="0" w:color="auto"/>
        <w:left w:val="none" w:sz="0" w:space="0" w:color="auto"/>
        <w:bottom w:val="none" w:sz="0" w:space="0" w:color="auto"/>
        <w:right w:val="none" w:sz="0" w:space="0" w:color="auto"/>
      </w:divBdr>
    </w:div>
    <w:div w:id="2084065700">
      <w:bodyDiv w:val="1"/>
      <w:marLeft w:val="0"/>
      <w:marRight w:val="0"/>
      <w:marTop w:val="0"/>
      <w:marBottom w:val="0"/>
      <w:divBdr>
        <w:top w:val="none" w:sz="0" w:space="0" w:color="auto"/>
        <w:left w:val="none" w:sz="0" w:space="0" w:color="auto"/>
        <w:bottom w:val="none" w:sz="0" w:space="0" w:color="auto"/>
        <w:right w:val="none" w:sz="0" w:space="0" w:color="auto"/>
      </w:divBdr>
    </w:div>
    <w:div w:id="20871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AF1E-091B-4A50-BDD7-4761CE14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992</Words>
  <Characters>6057</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Holm</dc:creator>
  <cp:keywords/>
  <dc:description/>
  <cp:lastModifiedBy>Henrik O. Juhl</cp:lastModifiedBy>
  <cp:revision>5</cp:revision>
  <dcterms:created xsi:type="dcterms:W3CDTF">2018-01-10T09:51:00Z</dcterms:created>
  <dcterms:modified xsi:type="dcterms:W3CDTF">2022-07-12T05:45:00Z</dcterms:modified>
</cp:coreProperties>
</file>